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6D2F92">
      <w:pPr>
        <w:tabs>
          <w:tab w:val="left" w:pos="3402"/>
          <w:tab w:val="left" w:pos="5670"/>
          <w:tab w:val="right" w:pos="10065"/>
        </w:tabs>
        <w:jc w:val="center"/>
        <w:rPr>
          <w:b/>
          <w:sz w:val="28"/>
        </w:rPr>
      </w:pPr>
    </w:p>
    <w:p w:rsidR="00000000" w:rsidRDefault="006D2F9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6D2F9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FICHE DE PARAMETRAGE : Définir les types d’ordre</w:t>
      </w:r>
    </w:p>
    <w:p w:rsidR="00000000" w:rsidRDefault="006D2F9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6D2F92">
      <w:pPr>
        <w:tabs>
          <w:tab w:val="left" w:pos="3402"/>
          <w:tab w:val="right" w:pos="10065"/>
        </w:tabs>
        <w:jc w:val="both"/>
        <w:rPr>
          <w:b/>
          <w:u w:val="single"/>
        </w:rPr>
      </w:pPr>
      <w:r>
        <w:tab/>
      </w:r>
    </w:p>
    <w:p w:rsidR="00000000" w:rsidRDefault="006D2F92">
      <w:pPr>
        <w:pBdr>
          <w:top w:val="single" w:sz="6" w:space="1" w:color="auto"/>
          <w:left w:val="single" w:sz="6" w:space="1" w:color="auto"/>
          <w:right w:val="single" w:sz="6" w:space="1" w:color="auto"/>
        </w:pBdr>
        <w:tabs>
          <w:tab w:val="left" w:pos="284"/>
        </w:tabs>
        <w:jc w:val="both"/>
        <w:rPr>
          <w:b/>
        </w:rPr>
      </w:pPr>
    </w:p>
    <w:p w:rsidR="00000000" w:rsidRDefault="006D2F92">
      <w:pPr>
        <w:pBdr>
          <w:top w:val="single" w:sz="6" w:space="1" w:color="auto"/>
          <w:left w:val="single" w:sz="6" w:space="1" w:color="auto"/>
          <w:right w:val="single" w:sz="6" w:space="1" w:color="auto"/>
        </w:pBdr>
        <w:tabs>
          <w:tab w:val="left" w:pos="284"/>
        </w:tabs>
        <w:jc w:val="both"/>
      </w:pPr>
      <w:r>
        <w:rPr>
          <w:b/>
        </w:rPr>
        <w:t xml:space="preserve">Version : </w:t>
      </w:r>
      <w:r>
        <w:t>1.0</w:t>
      </w:r>
      <w:r>
        <w:tab/>
      </w:r>
      <w:r>
        <w:rPr>
          <w:b/>
        </w:rPr>
        <w:tab/>
      </w:r>
      <w:r>
        <w:rPr>
          <w:b/>
        </w:rPr>
        <w:tab/>
        <w:t xml:space="preserve">Etat : </w:t>
      </w:r>
      <w:r>
        <w:t xml:space="preserve">Projet </w:t>
      </w:r>
      <w:r>
        <w:tab/>
      </w:r>
      <w:r>
        <w:rPr>
          <w:b/>
        </w:rPr>
        <w:tab/>
      </w:r>
      <w:r>
        <w:rPr>
          <w:b/>
        </w:rPr>
        <w:tab/>
      </w:r>
      <w:r>
        <w:rPr>
          <w:b/>
        </w:rPr>
        <w:tab/>
        <w:t>Date :</w:t>
      </w:r>
      <w:r>
        <w:tab/>
      </w:r>
      <w:r>
        <w:fldChar w:fldCharType="begin"/>
      </w:r>
      <w:r>
        <w:instrText xml:space="preserve"> </w:instrText>
      </w:r>
      <w:r>
        <w:instrText>CREATEDATE</w:instrText>
      </w:r>
      <w:r>
        <w:instrText xml:space="preserve">  \* </w:instrText>
      </w:r>
      <w:r>
        <w:instrText>MERGEFORMAT</w:instrText>
      </w:r>
      <w:r>
        <w:instrText xml:space="preserve"> </w:instrText>
      </w:r>
      <w:r>
        <w:fldChar w:fldCharType="separate"/>
      </w:r>
      <w:r w:rsidR="0056559D">
        <w:rPr>
          <w:noProof/>
        </w:rPr>
        <w:t>15/03/2016 17:43:00</w:t>
      </w:r>
      <w:r>
        <w:fldChar w:fldCharType="end"/>
      </w:r>
      <w:bookmarkStart w:id="0" w:name="_GoBack"/>
      <w:bookmarkEnd w:id="0"/>
      <w:r>
        <w:tab/>
      </w:r>
      <w:r>
        <w:tab/>
      </w:r>
      <w:r>
        <w:tab/>
      </w:r>
      <w:r>
        <w:tab/>
      </w:r>
    </w:p>
    <w:p w:rsidR="00000000" w:rsidRDefault="006D2F92">
      <w:pPr>
        <w:pBdr>
          <w:top w:val="single" w:sz="6" w:space="1" w:color="auto"/>
          <w:left w:val="single" w:sz="6" w:space="1" w:color="auto"/>
          <w:right w:val="single" w:sz="6" w:space="1" w:color="auto"/>
        </w:pBdr>
        <w:tabs>
          <w:tab w:val="left" w:pos="284"/>
        </w:tabs>
        <w:jc w:val="both"/>
        <w:rPr>
          <w:b/>
        </w:rPr>
      </w:pPr>
    </w:p>
    <w:p w:rsidR="00000000" w:rsidRDefault="006D2F92">
      <w:pPr>
        <w:pBdr>
          <w:top w:val="single" w:sz="6" w:space="1" w:color="auto"/>
          <w:left w:val="single" w:sz="6" w:space="1" w:color="auto"/>
          <w:right w:val="single" w:sz="6" w:space="1" w:color="auto"/>
        </w:pBdr>
        <w:tabs>
          <w:tab w:val="left" w:pos="284"/>
        </w:tabs>
        <w:jc w:val="both"/>
        <w:rPr>
          <w:b/>
        </w:rPr>
      </w:pPr>
      <w:r>
        <w:rPr>
          <w:b/>
        </w:rPr>
        <w:t>Documents associés: FPM-OF01-30v.</w:t>
      </w:r>
    </w:p>
    <w:p w:rsidR="00000000" w:rsidRDefault="006D2F92">
      <w:pPr>
        <w:pBdr>
          <w:top w:val="single" w:sz="6" w:space="1" w:color="auto"/>
          <w:left w:val="single" w:sz="6" w:space="1" w:color="auto"/>
          <w:right w:val="single" w:sz="6" w:space="1" w:color="auto"/>
        </w:pBdr>
        <w:tabs>
          <w:tab w:val="left" w:pos="284"/>
        </w:tabs>
        <w:jc w:val="both"/>
        <w:rPr>
          <w:b/>
        </w:rPr>
      </w:pPr>
    </w:p>
    <w:p w:rsidR="00000000" w:rsidRDefault="006D2F92">
      <w:pPr>
        <w:pBdr>
          <w:top w:val="single" w:sz="6" w:space="1" w:color="auto"/>
          <w:left w:val="single" w:sz="6" w:space="1" w:color="auto"/>
          <w:right w:val="single" w:sz="6" w:space="1" w:color="auto"/>
        </w:pBdr>
        <w:tabs>
          <w:tab w:val="left" w:pos="284"/>
        </w:tabs>
        <w:jc w:val="both"/>
        <w:rPr>
          <w:b/>
        </w:rPr>
      </w:pPr>
    </w:p>
    <w:p w:rsidR="00000000" w:rsidRDefault="006D2F92">
      <w:pPr>
        <w:pBdr>
          <w:top w:val="single" w:sz="6" w:space="1" w:color="auto"/>
          <w:left w:val="single" w:sz="6" w:space="1" w:color="auto"/>
          <w:right w:val="single" w:sz="6" w:space="1" w:color="auto"/>
        </w:pBdr>
        <w:tabs>
          <w:tab w:val="left" w:pos="284"/>
        </w:tabs>
        <w:jc w:val="both"/>
      </w:pPr>
      <w:r>
        <w:rPr>
          <w:b/>
        </w:rPr>
        <w:t>Accessibilité</w:t>
      </w:r>
      <w:r>
        <w:rPr>
          <w:b/>
        </w:rPr>
        <w:t xml:space="preserve">: </w:t>
      </w:r>
      <w:r>
        <w:t>Tout intervenant sur le projet</w:t>
      </w:r>
    </w:p>
    <w:p w:rsidR="00000000" w:rsidRDefault="006D2F92">
      <w:pPr>
        <w:pBdr>
          <w:left w:val="single" w:sz="6" w:space="1" w:color="auto"/>
          <w:bottom w:val="single" w:sz="6" w:space="1" w:color="auto"/>
          <w:right w:val="single" w:sz="6" w:space="1" w:color="auto"/>
        </w:pBdr>
        <w:tabs>
          <w:tab w:val="left" w:pos="284"/>
        </w:tabs>
        <w:jc w:val="both"/>
      </w:pPr>
    </w:p>
    <w:p w:rsidR="00000000" w:rsidRDefault="006D2F92">
      <w:pPr>
        <w:tabs>
          <w:tab w:val="left" w:pos="284"/>
        </w:tabs>
        <w:jc w:val="both"/>
      </w:pPr>
    </w:p>
    <w:p w:rsidR="00000000" w:rsidRDefault="006D2F92">
      <w:pPr>
        <w:tabs>
          <w:tab w:val="left" w:pos="284"/>
        </w:tabs>
        <w:jc w:val="both"/>
      </w:pPr>
      <w:r>
        <w:rPr>
          <w:b/>
        </w:rPr>
        <w:t>Visa du rédacteur</w:t>
      </w:r>
    </w:p>
    <w:p w:rsidR="00000000" w:rsidRDefault="006D2F92">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000000">
        <w:tblPrEx>
          <w:tblCellMar>
            <w:top w:w="0" w:type="dxa"/>
            <w:bottom w:w="0" w:type="dxa"/>
          </w:tblCellMar>
        </w:tblPrEx>
        <w:tc>
          <w:tcPr>
            <w:tcW w:w="3070" w:type="dxa"/>
          </w:tcPr>
          <w:p w:rsidR="00000000" w:rsidRDefault="006D2F92">
            <w:pPr>
              <w:tabs>
                <w:tab w:val="left" w:pos="284"/>
              </w:tabs>
              <w:jc w:val="center"/>
              <w:rPr>
                <w:b/>
              </w:rPr>
            </w:pPr>
            <w:r>
              <w:rPr>
                <w:b/>
              </w:rPr>
              <w:t>Nom</w:t>
            </w:r>
          </w:p>
        </w:tc>
        <w:tc>
          <w:tcPr>
            <w:tcW w:w="3070" w:type="dxa"/>
          </w:tcPr>
          <w:p w:rsidR="00000000" w:rsidRDefault="006D2F92">
            <w:pPr>
              <w:tabs>
                <w:tab w:val="left" w:pos="284"/>
              </w:tabs>
              <w:jc w:val="center"/>
              <w:rPr>
                <w:b/>
              </w:rPr>
            </w:pPr>
            <w:r>
              <w:rPr>
                <w:b/>
              </w:rPr>
              <w:t>Date</w:t>
            </w:r>
          </w:p>
        </w:tc>
        <w:tc>
          <w:tcPr>
            <w:tcW w:w="4190" w:type="dxa"/>
          </w:tcPr>
          <w:p w:rsidR="00000000" w:rsidRDefault="006D2F92">
            <w:pPr>
              <w:tabs>
                <w:tab w:val="left" w:pos="284"/>
              </w:tabs>
              <w:ind w:right="-144"/>
              <w:jc w:val="center"/>
              <w:rPr>
                <w:b/>
              </w:rPr>
            </w:pPr>
            <w:r>
              <w:rPr>
                <w:b/>
              </w:rPr>
              <w:t>Signature</w:t>
            </w:r>
          </w:p>
        </w:tc>
      </w:tr>
      <w:tr w:rsidR="00000000">
        <w:tblPrEx>
          <w:tblCellMar>
            <w:top w:w="0" w:type="dxa"/>
            <w:bottom w:w="0" w:type="dxa"/>
          </w:tblCellMar>
        </w:tblPrEx>
        <w:tc>
          <w:tcPr>
            <w:tcW w:w="3070" w:type="dxa"/>
          </w:tcPr>
          <w:p w:rsidR="00000000" w:rsidRDefault="006D2F92">
            <w:pPr>
              <w:tabs>
                <w:tab w:val="left" w:pos="284"/>
              </w:tabs>
              <w:jc w:val="center"/>
            </w:pPr>
          </w:p>
        </w:tc>
        <w:tc>
          <w:tcPr>
            <w:tcW w:w="3070" w:type="dxa"/>
          </w:tcPr>
          <w:p w:rsidR="00000000" w:rsidRDefault="006D2F92">
            <w:pPr>
              <w:tabs>
                <w:tab w:val="left" w:pos="284"/>
              </w:tabs>
              <w:jc w:val="center"/>
            </w:pPr>
          </w:p>
        </w:tc>
        <w:tc>
          <w:tcPr>
            <w:tcW w:w="4190" w:type="dxa"/>
            <w:tcBorders>
              <w:bottom w:val="nil"/>
            </w:tcBorders>
          </w:tcPr>
          <w:p w:rsidR="00000000" w:rsidRDefault="006D2F92">
            <w:pPr>
              <w:tabs>
                <w:tab w:val="left" w:pos="284"/>
              </w:tabs>
              <w:ind w:right="-144"/>
              <w:jc w:val="center"/>
            </w:pPr>
          </w:p>
        </w:tc>
      </w:tr>
      <w:tr w:rsidR="00000000">
        <w:tblPrEx>
          <w:tblCellMar>
            <w:top w:w="0" w:type="dxa"/>
            <w:bottom w:w="0" w:type="dxa"/>
          </w:tblCellMar>
        </w:tblPrEx>
        <w:trPr>
          <w:trHeight w:val="152"/>
        </w:trPr>
        <w:tc>
          <w:tcPr>
            <w:tcW w:w="3070" w:type="dxa"/>
          </w:tcPr>
          <w:p w:rsidR="00000000" w:rsidRDefault="006D2F92">
            <w:pPr>
              <w:tabs>
                <w:tab w:val="left" w:pos="284"/>
              </w:tabs>
              <w:jc w:val="center"/>
            </w:pPr>
          </w:p>
        </w:tc>
        <w:tc>
          <w:tcPr>
            <w:tcW w:w="3070" w:type="dxa"/>
          </w:tcPr>
          <w:p w:rsidR="00000000" w:rsidRDefault="006D2F92">
            <w:pPr>
              <w:tabs>
                <w:tab w:val="left" w:pos="284"/>
              </w:tabs>
              <w:jc w:val="center"/>
            </w:pPr>
          </w:p>
        </w:tc>
        <w:tc>
          <w:tcPr>
            <w:tcW w:w="4190" w:type="dxa"/>
          </w:tcPr>
          <w:p w:rsidR="00000000" w:rsidRDefault="006D2F92">
            <w:pPr>
              <w:tabs>
                <w:tab w:val="left" w:pos="284"/>
              </w:tabs>
              <w:ind w:right="-144"/>
              <w:jc w:val="center"/>
            </w:pPr>
          </w:p>
        </w:tc>
      </w:tr>
    </w:tbl>
    <w:p w:rsidR="00000000" w:rsidRDefault="006D2F92">
      <w:pPr>
        <w:tabs>
          <w:tab w:val="left" w:pos="284"/>
        </w:tabs>
        <w:ind w:left="-142"/>
        <w:jc w:val="both"/>
      </w:pPr>
    </w:p>
    <w:p w:rsidR="00000000" w:rsidRDefault="006D2F92">
      <w:pPr>
        <w:tabs>
          <w:tab w:val="left" w:pos="284"/>
        </w:tabs>
        <w:ind w:left="-142"/>
        <w:jc w:val="both"/>
      </w:pPr>
    </w:p>
    <w:p w:rsidR="00000000" w:rsidRDefault="006D2F92">
      <w:pPr>
        <w:tabs>
          <w:tab w:val="left" w:pos="284"/>
        </w:tabs>
        <w:jc w:val="both"/>
      </w:pPr>
      <w:r>
        <w:rPr>
          <w:b/>
        </w:rPr>
        <w:t>Suivi des modifications</w:t>
      </w:r>
    </w:p>
    <w:p w:rsidR="00000000" w:rsidRDefault="006D2F92">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000000">
        <w:tblPrEx>
          <w:tblCellMar>
            <w:top w:w="0" w:type="dxa"/>
            <w:bottom w:w="0" w:type="dxa"/>
          </w:tblCellMar>
        </w:tblPrEx>
        <w:tc>
          <w:tcPr>
            <w:tcW w:w="1701" w:type="dxa"/>
          </w:tcPr>
          <w:p w:rsidR="00000000" w:rsidRDefault="006D2F92">
            <w:pPr>
              <w:tabs>
                <w:tab w:val="left" w:pos="284"/>
              </w:tabs>
              <w:jc w:val="center"/>
              <w:rPr>
                <w:b/>
              </w:rPr>
            </w:pPr>
            <w:r>
              <w:rPr>
                <w:b/>
              </w:rPr>
              <w:t>Version</w:t>
            </w:r>
          </w:p>
        </w:tc>
        <w:tc>
          <w:tcPr>
            <w:tcW w:w="1701" w:type="dxa"/>
          </w:tcPr>
          <w:p w:rsidR="00000000" w:rsidRDefault="006D2F92">
            <w:pPr>
              <w:tabs>
                <w:tab w:val="left" w:pos="284"/>
              </w:tabs>
              <w:jc w:val="center"/>
              <w:rPr>
                <w:b/>
              </w:rPr>
            </w:pPr>
            <w:r>
              <w:rPr>
                <w:b/>
              </w:rPr>
              <w:t>Date</w:t>
            </w:r>
          </w:p>
        </w:tc>
        <w:tc>
          <w:tcPr>
            <w:tcW w:w="6929" w:type="dxa"/>
          </w:tcPr>
          <w:p w:rsidR="00000000" w:rsidRDefault="006D2F92">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6D2F92">
            <w:pPr>
              <w:tabs>
                <w:tab w:val="left" w:pos="284"/>
              </w:tabs>
              <w:jc w:val="center"/>
            </w:pPr>
          </w:p>
        </w:tc>
        <w:tc>
          <w:tcPr>
            <w:tcW w:w="1701" w:type="dxa"/>
          </w:tcPr>
          <w:p w:rsidR="00000000" w:rsidRDefault="006D2F92">
            <w:pPr>
              <w:tabs>
                <w:tab w:val="left" w:pos="284"/>
              </w:tabs>
              <w:jc w:val="center"/>
            </w:pPr>
          </w:p>
        </w:tc>
        <w:tc>
          <w:tcPr>
            <w:tcW w:w="6929" w:type="dxa"/>
          </w:tcPr>
          <w:p w:rsidR="00000000" w:rsidRDefault="006D2F92">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6D2F92">
            <w:pPr>
              <w:tabs>
                <w:tab w:val="left" w:pos="284"/>
              </w:tabs>
              <w:jc w:val="center"/>
            </w:pPr>
          </w:p>
        </w:tc>
        <w:tc>
          <w:tcPr>
            <w:tcW w:w="1701" w:type="dxa"/>
          </w:tcPr>
          <w:p w:rsidR="00000000" w:rsidRDefault="006D2F92">
            <w:pPr>
              <w:tabs>
                <w:tab w:val="left" w:pos="284"/>
              </w:tabs>
              <w:jc w:val="center"/>
            </w:pPr>
          </w:p>
        </w:tc>
        <w:tc>
          <w:tcPr>
            <w:tcW w:w="6929" w:type="dxa"/>
          </w:tcPr>
          <w:p w:rsidR="00000000" w:rsidRDefault="006D2F92">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6D2F92">
            <w:pPr>
              <w:tabs>
                <w:tab w:val="left" w:pos="284"/>
              </w:tabs>
              <w:jc w:val="center"/>
            </w:pPr>
          </w:p>
        </w:tc>
        <w:tc>
          <w:tcPr>
            <w:tcW w:w="1701" w:type="dxa"/>
          </w:tcPr>
          <w:p w:rsidR="00000000" w:rsidRDefault="006D2F92">
            <w:pPr>
              <w:tabs>
                <w:tab w:val="left" w:pos="284"/>
              </w:tabs>
              <w:jc w:val="center"/>
            </w:pPr>
          </w:p>
        </w:tc>
        <w:tc>
          <w:tcPr>
            <w:tcW w:w="6929" w:type="dxa"/>
          </w:tcPr>
          <w:p w:rsidR="00000000" w:rsidRDefault="006D2F92">
            <w:pPr>
              <w:tabs>
                <w:tab w:val="left" w:pos="284"/>
              </w:tabs>
              <w:jc w:val="both"/>
            </w:pPr>
          </w:p>
        </w:tc>
      </w:tr>
    </w:tbl>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EA71D0" w:rsidRDefault="00EA71D0">
      <w:pPr>
        <w:tabs>
          <w:tab w:val="left" w:pos="284"/>
        </w:tabs>
        <w:jc w:val="both"/>
      </w:pPr>
    </w:p>
    <w:p w:rsidR="00EA71D0" w:rsidRDefault="00EA71D0">
      <w:pPr>
        <w:tabs>
          <w:tab w:val="left" w:pos="284"/>
        </w:tabs>
        <w:jc w:val="both"/>
      </w:pPr>
    </w:p>
    <w:p w:rsidR="00EA71D0" w:rsidRDefault="00EA71D0">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tabs>
          <w:tab w:val="left" w:pos="284"/>
        </w:tabs>
        <w:jc w:val="both"/>
      </w:pPr>
    </w:p>
    <w:p w:rsidR="00000000" w:rsidRDefault="006D2F92">
      <w:pPr>
        <w:pStyle w:val="Titre1"/>
      </w:pPr>
      <w:bookmarkStart w:id="1" w:name="_Toc445111439"/>
      <w:bookmarkStart w:id="2" w:name="_Toc445113838"/>
      <w:r>
        <w:lastRenderedPageBreak/>
        <w:t>Chemin IMG</w:t>
      </w:r>
      <w:bookmarkEnd w:id="1"/>
      <w:bookmarkEnd w:id="2"/>
    </w:p>
    <w:p w:rsidR="00000000" w:rsidRDefault="006D2F92"/>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000000">
        <w:tblPrEx>
          <w:tblCellMar>
            <w:top w:w="0" w:type="dxa"/>
            <w:bottom w:w="0" w:type="dxa"/>
          </w:tblCellMar>
        </w:tblPrEx>
        <w:tc>
          <w:tcPr>
            <w:tcW w:w="10277" w:type="dxa"/>
          </w:tcPr>
          <w:p w:rsidR="00000000" w:rsidRDefault="006D2F92">
            <w:pPr>
              <w:pStyle w:val="Notedefin"/>
            </w:pPr>
            <w:r>
              <w:t xml:space="preserve">Production / </w:t>
            </w:r>
            <w:r w:rsidR="00EA71D0">
              <w:t>Pilotage de l’atelier</w:t>
            </w:r>
            <w:r>
              <w:t xml:space="preserve"> / Données de base / </w:t>
            </w:r>
            <w:r>
              <w:t>Ordre / Définir les types d’ordre.</w:t>
            </w:r>
          </w:p>
          <w:p w:rsidR="00EA71D0" w:rsidRDefault="008E4A07">
            <w:pPr>
              <w:pStyle w:val="Notedefin"/>
            </w:pPr>
            <w:r w:rsidRPr="00AE0562">
              <w:rPr>
                <w:noProof/>
              </w:rPr>
              <w:drawing>
                <wp:inline distT="0" distB="0" distL="0" distR="0">
                  <wp:extent cx="6438900" cy="3619500"/>
                  <wp:effectExtent l="0" t="0" r="0" b="0"/>
                  <wp:docPr id="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38900" cy="3619500"/>
                          </a:xfrm>
                          <a:prstGeom prst="rect">
                            <a:avLst/>
                          </a:prstGeom>
                          <a:noFill/>
                          <a:ln>
                            <a:noFill/>
                          </a:ln>
                        </pic:spPr>
                      </pic:pic>
                    </a:graphicData>
                  </a:graphic>
                </wp:inline>
              </w:drawing>
            </w:r>
          </w:p>
          <w:p w:rsidR="00EA71D0" w:rsidRDefault="00EA71D0">
            <w:pPr>
              <w:pStyle w:val="Notedefin"/>
            </w:pPr>
          </w:p>
        </w:tc>
      </w:tr>
    </w:tbl>
    <w:p w:rsidR="00000000" w:rsidRDefault="006D2F92"/>
    <w:p w:rsidR="00000000" w:rsidRDefault="006D2F92">
      <w:pPr>
        <w:pStyle w:val="Titre1"/>
      </w:pPr>
      <w:bookmarkStart w:id="3" w:name="_Toc445111440"/>
      <w:bookmarkStart w:id="4" w:name="_Toc445113839"/>
      <w:r>
        <w:t>Transaction</w:t>
      </w:r>
      <w:bookmarkEnd w:id="3"/>
      <w:bookmarkEnd w:id="4"/>
    </w:p>
    <w:p w:rsidR="00000000" w:rsidRDefault="006D2F92"/>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000000">
        <w:tblPrEx>
          <w:tblCellMar>
            <w:top w:w="0" w:type="dxa"/>
            <w:bottom w:w="0" w:type="dxa"/>
          </w:tblCellMar>
        </w:tblPrEx>
        <w:tc>
          <w:tcPr>
            <w:tcW w:w="5172" w:type="dxa"/>
          </w:tcPr>
          <w:p w:rsidR="00000000" w:rsidRDefault="006D2F92">
            <w:pPr>
              <w:rPr>
                <w:b/>
              </w:rPr>
            </w:pPr>
            <w:r>
              <w:rPr>
                <w:b/>
              </w:rPr>
              <w:t>CODE TRANSACTION :</w:t>
            </w:r>
          </w:p>
        </w:tc>
        <w:tc>
          <w:tcPr>
            <w:tcW w:w="5104" w:type="dxa"/>
          </w:tcPr>
          <w:p w:rsidR="00000000" w:rsidRDefault="006D2F92">
            <w:pPr>
              <w:rPr>
                <w:b/>
              </w:rPr>
            </w:pPr>
            <w:r>
              <w:rPr>
                <w:b/>
              </w:rPr>
              <w:t>LIBELLE TRANSACTION:</w:t>
            </w:r>
          </w:p>
        </w:tc>
      </w:tr>
      <w:tr w:rsidR="00000000">
        <w:tblPrEx>
          <w:tblCellMar>
            <w:top w:w="0" w:type="dxa"/>
            <w:bottom w:w="0" w:type="dxa"/>
          </w:tblCellMar>
        </w:tblPrEx>
        <w:tc>
          <w:tcPr>
            <w:tcW w:w="5172" w:type="dxa"/>
          </w:tcPr>
          <w:p w:rsidR="00000000" w:rsidRDefault="006D2F92">
            <w:pPr>
              <w:pStyle w:val="TM1tm1"/>
              <w:tabs>
                <w:tab w:val="clear" w:pos="10205"/>
              </w:tabs>
              <w:spacing w:before="0" w:after="0"/>
              <w:rPr>
                <w:caps w:val="0"/>
              </w:rPr>
            </w:pPr>
            <w:r>
              <w:rPr>
                <w:caps w:val="0"/>
              </w:rPr>
              <w:t>OPJH</w:t>
            </w:r>
          </w:p>
        </w:tc>
        <w:tc>
          <w:tcPr>
            <w:tcW w:w="5104" w:type="dxa"/>
          </w:tcPr>
          <w:p w:rsidR="00000000" w:rsidRDefault="006D2F92">
            <w:pPr>
              <w:pStyle w:val="TM1tm1"/>
              <w:tabs>
                <w:tab w:val="clear" w:pos="10205"/>
              </w:tabs>
              <w:spacing w:before="0" w:after="0"/>
              <w:rPr>
                <w:caps w:val="0"/>
              </w:rPr>
            </w:pPr>
            <w:r>
              <w:rPr>
                <w:caps w:val="0"/>
              </w:rPr>
              <w:t>Modifier vue :Gérer les types d’ordres de fabrication </w:t>
            </w:r>
          </w:p>
        </w:tc>
      </w:tr>
    </w:tbl>
    <w:p w:rsidR="00000000" w:rsidRDefault="006D2F92">
      <w:pPr>
        <w:pStyle w:val="TM1tm1"/>
        <w:tabs>
          <w:tab w:val="clear" w:pos="10205"/>
          <w:tab w:val="left" w:pos="5172"/>
          <w:tab w:val="left" w:pos="10344"/>
        </w:tabs>
        <w:spacing w:before="0" w:after="0"/>
        <w:rPr>
          <w:caps w:val="0"/>
        </w:rPr>
      </w:pPr>
    </w:p>
    <w:p w:rsidR="00000000" w:rsidRDefault="006D2F92">
      <w:pPr>
        <w:tabs>
          <w:tab w:val="left" w:pos="5172"/>
          <w:tab w:val="left" w:pos="10344"/>
        </w:tabs>
        <w:rPr>
          <w:b/>
        </w:rPr>
      </w:pPr>
    </w:p>
    <w:p w:rsidR="00000000" w:rsidRDefault="006D2F92">
      <w:pPr>
        <w:pStyle w:val="Titre1"/>
      </w:pPr>
      <w:bookmarkStart w:id="5" w:name="_Toc445111441"/>
      <w:bookmarkStart w:id="6" w:name="_Toc445113840"/>
      <w:r>
        <w:t>Description du paramétrage</w:t>
      </w:r>
      <w:bookmarkEnd w:id="5"/>
      <w:bookmarkEnd w:id="6"/>
    </w:p>
    <w:p w:rsidR="00000000" w:rsidRDefault="006D2F92">
      <w:pPr>
        <w:tabs>
          <w:tab w:val="left" w:pos="5172"/>
          <w:tab w:val="left" w:pos="10344"/>
        </w:tabs>
        <w:rPr>
          <w:b/>
        </w:rPr>
      </w:pPr>
    </w:p>
    <w:p w:rsidR="00000000" w:rsidRDefault="006D2F92">
      <w:pPr>
        <w:tabs>
          <w:tab w:val="left" w:pos="567"/>
          <w:tab w:val="left" w:pos="10344"/>
        </w:tabs>
        <w:jc w:val="both"/>
      </w:pPr>
      <w:r>
        <w:tab/>
        <w:t>Clé qui différencie les ordres en fonction de leur utilisation. Le type d</w:t>
      </w:r>
      <w:r>
        <w:t>’ordre permet d’établir des paramètres qui conditionnent l’exécution de l’ordre, on peut ainsi définir : la tranche de numéros, les critères de sélection d’une gamme opératoire, les modalités de calcul des coûts de l’ordre.</w:t>
      </w:r>
    </w:p>
    <w:p w:rsidR="00000000" w:rsidRDefault="006D2F92">
      <w:pPr>
        <w:tabs>
          <w:tab w:val="left" w:pos="567"/>
          <w:tab w:val="left" w:pos="10344"/>
        </w:tabs>
        <w:jc w:val="both"/>
      </w:pPr>
    </w:p>
    <w:p w:rsidR="00000000" w:rsidRDefault="006D2F92">
      <w:pPr>
        <w:tabs>
          <w:tab w:val="left" w:pos="567"/>
          <w:tab w:val="left" w:pos="10344"/>
        </w:tabs>
        <w:jc w:val="both"/>
      </w:pPr>
      <w:r>
        <w:tab/>
        <w:t xml:space="preserve">Pour </w:t>
      </w:r>
      <w:r w:rsidR="00EA71D0">
        <w:t>MIOM</w:t>
      </w:r>
      <w:r>
        <w:t xml:space="preserve"> les ordres de fab</w:t>
      </w:r>
      <w:r>
        <w:t>rication standard utiliseront le type d’ordre « </w:t>
      </w:r>
      <w:r w:rsidR="00EA71D0">
        <w:rPr>
          <w:b/>
          <w:i/>
        </w:rPr>
        <w:t>Z020</w:t>
      </w:r>
      <w:r>
        <w:t> » (</w:t>
      </w:r>
      <w:r w:rsidR="00EA71D0">
        <w:t>ASSEMBLAGE</w:t>
      </w:r>
      <w:r>
        <w:t xml:space="preserve"> </w:t>
      </w:r>
      <w:r w:rsidR="00EA71D0">
        <w:t>MIOM</w:t>
      </w:r>
      <w:r>
        <w:t>). Les ordres de fabrication dit de retraitement tel que le tri, le reconditionnement ne peuvent pas avoir le même type d’ordre (</w:t>
      </w:r>
      <w:r w:rsidR="00EA71D0">
        <w:t>ils n’ont</w:t>
      </w:r>
      <w:r>
        <w:t xml:space="preserve"> pas de critères de sélection automatique) pa</w:t>
      </w:r>
      <w:r>
        <w:t>r conséquent un autre type d’ordre spécifique « </w:t>
      </w:r>
      <w:r w:rsidR="00EA71D0">
        <w:rPr>
          <w:b/>
          <w:i/>
        </w:rPr>
        <w:t>Z099</w:t>
      </w:r>
      <w:r>
        <w:t> » sera créé.</w:t>
      </w:r>
    </w:p>
    <w:p w:rsidR="00000000" w:rsidRDefault="006D2F92">
      <w:pPr>
        <w:tabs>
          <w:tab w:val="left" w:pos="567"/>
          <w:tab w:val="left" w:pos="10344"/>
        </w:tabs>
        <w:jc w:val="both"/>
      </w:pPr>
    </w:p>
    <w:p w:rsidR="00000000" w:rsidRDefault="006D2F92">
      <w:pPr>
        <w:tabs>
          <w:tab w:val="left" w:pos="567"/>
          <w:tab w:val="left" w:pos="10344"/>
        </w:tabs>
        <w:ind w:firstLine="567"/>
        <w:jc w:val="both"/>
      </w:pPr>
    </w:p>
    <w:p w:rsidR="00000000" w:rsidRDefault="006D2F92">
      <w:pPr>
        <w:pStyle w:val="Corpsdetexte2"/>
      </w:pPr>
      <w:r>
        <w:tab/>
      </w:r>
    </w:p>
    <w:p w:rsidR="00EA71D0" w:rsidRDefault="00EA71D0" w:rsidP="008E4A07">
      <w:pPr>
        <w:pStyle w:val="Titre2"/>
        <w:rPr>
          <w:sz w:val="27"/>
        </w:rPr>
      </w:pPr>
      <w:r>
        <w:lastRenderedPageBreak/>
        <w:t>Définir les types d'ordre</w:t>
      </w:r>
    </w:p>
    <w:p w:rsidR="00EA71D0" w:rsidRDefault="00EA71D0" w:rsidP="00EA71D0">
      <w:pPr>
        <w:pStyle w:val="NormalWeb"/>
        <w:rPr>
          <w:rFonts w:ascii="Arial" w:hAnsi="Arial" w:cs="Arial"/>
          <w:color w:val="000000"/>
          <w:sz w:val="19"/>
          <w:szCs w:val="19"/>
        </w:rPr>
      </w:pPr>
      <w:r>
        <w:rPr>
          <w:rFonts w:ascii="Arial" w:hAnsi="Arial" w:cs="Arial"/>
          <w:color w:val="000000"/>
          <w:sz w:val="19"/>
          <w:szCs w:val="19"/>
        </w:rPr>
        <w:t>Cette étape vous permet de définir les types d'ordre. Un type d'ordre regroupe les informations de contrôle dont vous avez besoin pour gérer les ordres. Vous devez affecter chaque ordre à un type.</w:t>
      </w:r>
    </w:p>
    <w:p w:rsidR="00EA71D0" w:rsidRDefault="00EA71D0" w:rsidP="00EA71D0">
      <w:pPr>
        <w:pStyle w:val="NormalWeb"/>
        <w:rPr>
          <w:rFonts w:ascii="Arial" w:hAnsi="Arial" w:cs="Arial"/>
          <w:color w:val="000000"/>
          <w:sz w:val="19"/>
          <w:szCs w:val="19"/>
        </w:rPr>
      </w:pPr>
      <w:r>
        <w:rPr>
          <w:rFonts w:ascii="Arial" w:hAnsi="Arial" w:cs="Arial"/>
          <w:color w:val="000000"/>
          <w:sz w:val="19"/>
          <w:szCs w:val="19"/>
        </w:rPr>
        <w:t>La catégorie d'ordre (= 10, ordre de fabrication) est prédéfinie dans cette étape et ne peut pas être modifiée. Les catégories d'ordres sont affectées dans le système SAP et définissent les propriétés techniques des ordres. Ordre de process ou Réseau sont par exemple d'autres catégories d'ordre.</w:t>
      </w:r>
    </w:p>
    <w:p w:rsidR="00EA71D0" w:rsidRDefault="00EA71D0" w:rsidP="00EA71D0">
      <w:pPr>
        <w:pStyle w:val="NormalWeb"/>
        <w:rPr>
          <w:rFonts w:ascii="Arial" w:hAnsi="Arial" w:cs="Arial"/>
          <w:color w:val="000000"/>
          <w:sz w:val="19"/>
          <w:szCs w:val="19"/>
        </w:rPr>
      </w:pPr>
      <w:r>
        <w:rPr>
          <w:rFonts w:ascii="Arial" w:hAnsi="Arial" w:cs="Arial"/>
          <w:color w:val="000000"/>
          <w:sz w:val="19"/>
          <w:szCs w:val="19"/>
        </w:rPr>
        <w:t>Le type d'ordre vous permet de déterminer :</w:t>
      </w:r>
    </w:p>
    <w:p w:rsidR="00EA71D0" w:rsidRDefault="00EA71D0" w:rsidP="00EA71D0">
      <w:pPr>
        <w:numPr>
          <w:ilvl w:val="0"/>
          <w:numId w:val="16"/>
        </w:numPr>
        <w:spacing w:before="100" w:beforeAutospacing="1" w:after="100" w:afterAutospacing="1"/>
        <w:rPr>
          <w:rFonts w:cs="Arial"/>
          <w:color w:val="000000"/>
          <w:sz w:val="19"/>
          <w:szCs w:val="19"/>
        </w:rPr>
      </w:pPr>
      <w:r>
        <w:rPr>
          <w:rFonts w:cs="Arial"/>
          <w:color w:val="000000"/>
          <w:sz w:val="19"/>
          <w:szCs w:val="19"/>
        </w:rPr>
        <w:t>la mise à jour de l'objet partenaire CO (Controlling)</w:t>
      </w:r>
    </w:p>
    <w:p w:rsidR="00EA71D0" w:rsidRDefault="00EA71D0" w:rsidP="00EA71D0">
      <w:pPr>
        <w:ind w:left="720"/>
        <w:rPr>
          <w:rFonts w:cs="Arial"/>
          <w:color w:val="000000"/>
          <w:sz w:val="19"/>
          <w:szCs w:val="19"/>
        </w:rPr>
      </w:pPr>
      <w:r>
        <w:rPr>
          <w:rFonts w:cs="Arial"/>
          <w:color w:val="000000"/>
          <w:sz w:val="19"/>
          <w:szCs w:val="19"/>
        </w:rPr>
        <w:t>Vous déterminez ici si un enregistrement de cumul doit être mis à jour pour chaque ordre lorsqu'un objet partenaire CO (par exemple un centre de coûts) est consommé avec un ordre de ce type.</w:t>
      </w:r>
    </w:p>
    <w:p w:rsidR="00EA71D0" w:rsidRDefault="00EA71D0" w:rsidP="00EA71D0">
      <w:pPr>
        <w:numPr>
          <w:ilvl w:val="0"/>
          <w:numId w:val="17"/>
        </w:numPr>
        <w:spacing w:before="100" w:beforeAutospacing="1" w:after="100" w:afterAutospacing="1"/>
        <w:rPr>
          <w:rFonts w:cs="Arial"/>
          <w:color w:val="000000"/>
          <w:sz w:val="19"/>
          <w:szCs w:val="19"/>
        </w:rPr>
      </w:pPr>
      <w:r>
        <w:rPr>
          <w:rFonts w:cs="Arial"/>
          <w:color w:val="000000"/>
          <w:sz w:val="19"/>
          <w:szCs w:val="19"/>
        </w:rPr>
        <w:t>la classification des ordres</w:t>
      </w:r>
    </w:p>
    <w:p w:rsidR="00EA71D0" w:rsidRDefault="00EA71D0" w:rsidP="00EA71D0">
      <w:pPr>
        <w:ind w:left="720"/>
        <w:rPr>
          <w:rFonts w:cs="Arial"/>
          <w:color w:val="000000"/>
          <w:sz w:val="19"/>
          <w:szCs w:val="19"/>
        </w:rPr>
      </w:pPr>
      <w:r>
        <w:rPr>
          <w:rFonts w:cs="Arial"/>
          <w:color w:val="000000"/>
          <w:sz w:val="19"/>
          <w:szCs w:val="19"/>
        </w:rPr>
        <w:t>Vous déterminez ici si les ordres doivent être déterminés lors de la compression et de la sélection des ordres.</w:t>
      </w:r>
    </w:p>
    <w:p w:rsidR="00EA71D0" w:rsidRDefault="00EA71D0" w:rsidP="00EA71D0">
      <w:pPr>
        <w:numPr>
          <w:ilvl w:val="0"/>
          <w:numId w:val="18"/>
        </w:numPr>
        <w:spacing w:before="100" w:beforeAutospacing="1" w:after="100" w:afterAutospacing="1"/>
        <w:rPr>
          <w:rFonts w:cs="Arial"/>
          <w:color w:val="000000"/>
          <w:sz w:val="19"/>
          <w:szCs w:val="19"/>
        </w:rPr>
      </w:pPr>
      <w:r>
        <w:rPr>
          <w:rFonts w:cs="Arial"/>
          <w:color w:val="000000"/>
          <w:sz w:val="19"/>
          <w:szCs w:val="19"/>
        </w:rPr>
        <w:t>la gestion des engagements sur commande</w:t>
      </w:r>
    </w:p>
    <w:p w:rsidR="00EA71D0" w:rsidRDefault="00EA71D0" w:rsidP="00EA71D0">
      <w:pPr>
        <w:ind w:left="720"/>
        <w:rPr>
          <w:rFonts w:cs="Arial"/>
          <w:color w:val="000000"/>
          <w:sz w:val="19"/>
          <w:szCs w:val="19"/>
        </w:rPr>
      </w:pPr>
      <w:r>
        <w:rPr>
          <w:rFonts w:cs="Arial"/>
          <w:color w:val="000000"/>
          <w:sz w:val="19"/>
          <w:szCs w:val="19"/>
        </w:rPr>
        <w:t>Vous définissez ici pour chaque type d'ordre si vous voulez utiliser la gestion des engagements sur commande.</w:t>
      </w:r>
    </w:p>
    <w:p w:rsidR="00EA71D0" w:rsidRDefault="00EA71D0" w:rsidP="00EA71D0">
      <w:pPr>
        <w:numPr>
          <w:ilvl w:val="0"/>
          <w:numId w:val="19"/>
        </w:numPr>
        <w:spacing w:before="100" w:beforeAutospacing="1" w:after="100" w:afterAutospacing="1"/>
        <w:rPr>
          <w:rFonts w:cs="Arial"/>
          <w:color w:val="000000"/>
          <w:sz w:val="19"/>
          <w:szCs w:val="19"/>
        </w:rPr>
      </w:pPr>
      <w:r>
        <w:rPr>
          <w:rFonts w:cs="Arial"/>
          <w:color w:val="000000"/>
          <w:sz w:val="19"/>
          <w:szCs w:val="19"/>
        </w:rPr>
        <w:t>la période de rétention de l'ordre</w:t>
      </w:r>
    </w:p>
    <w:p w:rsidR="00EA71D0" w:rsidRDefault="00EA71D0" w:rsidP="00EA71D0">
      <w:pPr>
        <w:ind w:left="720"/>
        <w:rPr>
          <w:rFonts w:cs="Arial"/>
          <w:color w:val="000000"/>
          <w:sz w:val="19"/>
          <w:szCs w:val="19"/>
        </w:rPr>
      </w:pPr>
      <w:r>
        <w:rPr>
          <w:rFonts w:cs="Arial"/>
          <w:color w:val="000000"/>
          <w:sz w:val="19"/>
          <w:szCs w:val="19"/>
        </w:rPr>
        <w:t>Vous définissez ici combien de temps les ordres clôturés restent dans le système SAP avant d'être archivés.</w:t>
      </w:r>
    </w:p>
    <w:p w:rsidR="00EA71D0" w:rsidRDefault="00EA71D0" w:rsidP="00EA71D0">
      <w:pPr>
        <w:numPr>
          <w:ilvl w:val="0"/>
          <w:numId w:val="20"/>
        </w:numPr>
        <w:spacing w:before="100" w:beforeAutospacing="1" w:after="100" w:afterAutospacing="1"/>
        <w:rPr>
          <w:rFonts w:cs="Arial"/>
          <w:color w:val="000000"/>
          <w:sz w:val="19"/>
          <w:szCs w:val="19"/>
        </w:rPr>
      </w:pPr>
      <w:r>
        <w:rPr>
          <w:rFonts w:cs="Arial"/>
          <w:color w:val="000000"/>
          <w:sz w:val="19"/>
          <w:szCs w:val="19"/>
        </w:rPr>
        <w:t>le profil d'imputation</w:t>
      </w:r>
    </w:p>
    <w:p w:rsidR="00EA71D0" w:rsidRDefault="00EA71D0" w:rsidP="00EA71D0">
      <w:pPr>
        <w:ind w:left="720"/>
        <w:rPr>
          <w:rFonts w:cs="Arial"/>
          <w:color w:val="000000"/>
          <w:sz w:val="19"/>
          <w:szCs w:val="19"/>
        </w:rPr>
      </w:pPr>
      <w:r>
        <w:rPr>
          <w:rFonts w:cs="Arial"/>
          <w:color w:val="000000"/>
          <w:sz w:val="19"/>
          <w:szCs w:val="19"/>
        </w:rPr>
        <w:t>Dans ce profil, vous déterminez dans quels objets les ordres de ce type peuvent être imputés.</w:t>
      </w:r>
    </w:p>
    <w:p w:rsidR="00EA71D0" w:rsidRDefault="00EA71D0" w:rsidP="00EA71D0">
      <w:pPr>
        <w:numPr>
          <w:ilvl w:val="0"/>
          <w:numId w:val="21"/>
        </w:numPr>
        <w:spacing w:before="100" w:beforeAutospacing="1" w:after="100" w:afterAutospacing="1"/>
        <w:rPr>
          <w:rFonts w:cs="Arial"/>
          <w:color w:val="000000"/>
          <w:sz w:val="19"/>
          <w:szCs w:val="19"/>
        </w:rPr>
      </w:pPr>
      <w:r>
        <w:rPr>
          <w:rFonts w:cs="Arial"/>
          <w:color w:val="000000"/>
          <w:sz w:val="19"/>
          <w:szCs w:val="19"/>
        </w:rPr>
        <w:t>Domaine fonctionnel</w:t>
      </w:r>
    </w:p>
    <w:p w:rsidR="00EA71D0" w:rsidRDefault="00EA71D0" w:rsidP="00EA71D0">
      <w:pPr>
        <w:ind w:left="720"/>
        <w:rPr>
          <w:rFonts w:cs="Arial"/>
          <w:color w:val="000000"/>
          <w:sz w:val="19"/>
          <w:szCs w:val="19"/>
        </w:rPr>
      </w:pPr>
      <w:r>
        <w:rPr>
          <w:rFonts w:cs="Arial"/>
          <w:color w:val="000000"/>
          <w:sz w:val="19"/>
          <w:szCs w:val="19"/>
        </w:rPr>
        <w:t>Vous pouvez enregistrer un domaine fonctionnel pour le type d'ordre.</w:t>
      </w:r>
    </w:p>
    <w:p w:rsidR="00EA71D0" w:rsidRDefault="00EA71D0" w:rsidP="00EA71D0">
      <w:pPr>
        <w:numPr>
          <w:ilvl w:val="0"/>
          <w:numId w:val="22"/>
        </w:numPr>
        <w:spacing w:before="100" w:beforeAutospacing="1" w:after="100" w:afterAutospacing="1"/>
        <w:rPr>
          <w:rFonts w:cs="Arial"/>
          <w:color w:val="000000"/>
          <w:sz w:val="19"/>
          <w:szCs w:val="19"/>
        </w:rPr>
      </w:pPr>
      <w:r>
        <w:rPr>
          <w:rFonts w:cs="Arial"/>
          <w:color w:val="000000"/>
          <w:sz w:val="19"/>
          <w:szCs w:val="19"/>
        </w:rPr>
        <w:t>le réseau d'ordres avec mouvement de stock</w:t>
      </w:r>
    </w:p>
    <w:p w:rsidR="00EA71D0" w:rsidRDefault="00EA71D0" w:rsidP="00EA71D0">
      <w:pPr>
        <w:ind w:left="720"/>
        <w:rPr>
          <w:rFonts w:cs="Arial"/>
          <w:color w:val="000000"/>
          <w:sz w:val="19"/>
          <w:szCs w:val="19"/>
        </w:rPr>
      </w:pPr>
      <w:r>
        <w:rPr>
          <w:rFonts w:cs="Arial"/>
          <w:color w:val="000000"/>
          <w:sz w:val="19"/>
          <w:szCs w:val="19"/>
        </w:rPr>
        <w:t>Ce code contrôle si des mouvements de stock doivent avoir lieu pour les ordres de fabrication reliés à un réseau d'ordre.</w:t>
      </w:r>
    </w:p>
    <w:p w:rsidR="00EA71D0" w:rsidRDefault="00EA71D0" w:rsidP="00EA71D0">
      <w:pPr>
        <w:numPr>
          <w:ilvl w:val="0"/>
          <w:numId w:val="23"/>
        </w:numPr>
        <w:spacing w:before="100" w:beforeAutospacing="1" w:after="100" w:afterAutospacing="1"/>
        <w:rPr>
          <w:rFonts w:cs="Arial"/>
          <w:color w:val="000000"/>
          <w:sz w:val="19"/>
          <w:szCs w:val="19"/>
        </w:rPr>
      </w:pPr>
      <w:r>
        <w:rPr>
          <w:rFonts w:cs="Arial"/>
          <w:color w:val="000000"/>
          <w:sz w:val="19"/>
          <w:szCs w:val="19"/>
        </w:rPr>
        <w:t>la gestion des statuts</w:t>
      </w:r>
    </w:p>
    <w:p w:rsidR="00EA71D0" w:rsidRDefault="00EA71D0" w:rsidP="00EA71D0">
      <w:pPr>
        <w:ind w:left="720"/>
        <w:rPr>
          <w:rFonts w:cs="Arial"/>
          <w:color w:val="000000"/>
          <w:sz w:val="19"/>
          <w:szCs w:val="19"/>
        </w:rPr>
      </w:pPr>
      <w:r>
        <w:rPr>
          <w:rFonts w:cs="Arial"/>
          <w:color w:val="000000"/>
          <w:sz w:val="19"/>
          <w:szCs w:val="19"/>
        </w:rPr>
        <w:t>Un ordre peut passer par plusieurs statuts. Le statut contrôle entre autres quels opérations de gestion d'entreprise sont autorisées pour un ordre.</w:t>
      </w:r>
    </w:p>
    <w:p w:rsidR="00EA71D0" w:rsidRDefault="00EA71D0" w:rsidP="00EA71D0">
      <w:pPr>
        <w:numPr>
          <w:ilvl w:val="0"/>
          <w:numId w:val="24"/>
        </w:numPr>
        <w:spacing w:before="100" w:beforeAutospacing="1" w:after="100" w:afterAutospacing="1"/>
        <w:rPr>
          <w:rFonts w:cs="Arial"/>
          <w:color w:val="000000"/>
          <w:sz w:val="19"/>
          <w:szCs w:val="19"/>
        </w:rPr>
      </w:pPr>
      <w:r>
        <w:rPr>
          <w:rFonts w:cs="Arial"/>
          <w:color w:val="000000"/>
          <w:sz w:val="19"/>
          <w:szCs w:val="19"/>
        </w:rPr>
        <w:t>l'attribution de numéros</w:t>
      </w:r>
    </w:p>
    <w:p w:rsidR="00EA71D0" w:rsidRDefault="00EA71D0" w:rsidP="00EA71D0">
      <w:pPr>
        <w:ind w:left="720"/>
        <w:rPr>
          <w:rFonts w:cs="Arial"/>
          <w:color w:val="000000"/>
          <w:sz w:val="19"/>
          <w:szCs w:val="19"/>
        </w:rPr>
      </w:pPr>
      <w:r>
        <w:rPr>
          <w:rFonts w:cs="Arial"/>
          <w:color w:val="000000"/>
          <w:sz w:val="19"/>
          <w:szCs w:val="19"/>
        </w:rPr>
        <w:t>Vous devez affecter une tranche de numéros à chaque type d'ordre</w:t>
      </w:r>
    </w:p>
    <w:p w:rsidR="00EA71D0" w:rsidRDefault="00EA71D0" w:rsidP="00EA71D0">
      <w:pPr>
        <w:pStyle w:val="NormalWeb"/>
        <w:rPr>
          <w:rFonts w:ascii="Arial" w:hAnsi="Arial" w:cs="Arial"/>
          <w:color w:val="000000"/>
          <w:sz w:val="19"/>
          <w:szCs w:val="19"/>
        </w:rPr>
      </w:pPr>
      <w:r>
        <w:rPr>
          <w:rStyle w:val="lev"/>
          <w:rFonts w:ascii="Arial" w:hAnsi="Arial" w:cs="Arial"/>
          <w:color w:val="000000"/>
          <w:sz w:val="19"/>
          <w:szCs w:val="19"/>
        </w:rPr>
        <w:t>Remarque</w:t>
      </w:r>
    </w:p>
    <w:p w:rsidR="00EA71D0" w:rsidRDefault="00EA71D0" w:rsidP="00EA71D0">
      <w:pPr>
        <w:pStyle w:val="NormalWeb"/>
        <w:rPr>
          <w:rFonts w:ascii="Arial" w:hAnsi="Arial" w:cs="Arial"/>
          <w:color w:val="000000"/>
          <w:sz w:val="19"/>
          <w:szCs w:val="19"/>
        </w:rPr>
      </w:pPr>
      <w:r>
        <w:rPr>
          <w:rFonts w:ascii="Arial" w:hAnsi="Arial" w:cs="Arial"/>
          <w:color w:val="000000"/>
          <w:sz w:val="19"/>
          <w:szCs w:val="19"/>
        </w:rPr>
        <w:t xml:space="preserve">Outre les paramètres d'ordre généraux au niveau du mandant, il existe aussi des paramètres au niveau de la division. Traitez l'étape </w:t>
      </w:r>
      <w:hyperlink r:id="rId8" w:history="1">
        <w:r>
          <w:rPr>
            <w:rStyle w:val="Lienhypertexte"/>
            <w:rFonts w:ascii="Arial" w:hAnsi="Arial" w:cs="Arial"/>
            <w:b/>
            <w:bCs/>
            <w:sz w:val="19"/>
            <w:szCs w:val="19"/>
          </w:rPr>
          <w:t>Définir paramètres dépendants de l'ordre</w:t>
        </w:r>
      </w:hyperlink>
      <w:r>
        <w:rPr>
          <w:rFonts w:ascii="Arial" w:hAnsi="Arial" w:cs="Arial"/>
          <w:color w:val="000000"/>
          <w:sz w:val="19"/>
          <w:szCs w:val="19"/>
        </w:rPr>
        <w:t>.</w:t>
      </w:r>
    </w:p>
    <w:p w:rsidR="00EA71D0" w:rsidRDefault="00EA71D0" w:rsidP="00EA71D0">
      <w:pPr>
        <w:pStyle w:val="NormalWeb"/>
        <w:rPr>
          <w:rFonts w:ascii="Arial" w:hAnsi="Arial" w:cs="Arial"/>
          <w:color w:val="000000"/>
          <w:sz w:val="19"/>
          <w:szCs w:val="19"/>
        </w:rPr>
      </w:pPr>
      <w:r>
        <w:rPr>
          <w:rStyle w:val="lev"/>
          <w:rFonts w:ascii="Arial" w:hAnsi="Arial" w:cs="Arial"/>
          <w:color w:val="000000"/>
          <w:sz w:val="19"/>
          <w:szCs w:val="19"/>
        </w:rPr>
        <w:lastRenderedPageBreak/>
        <w:t>Conditions</w:t>
      </w:r>
    </w:p>
    <w:p w:rsidR="00EA71D0" w:rsidRDefault="00EA71D0" w:rsidP="00EA71D0">
      <w:pPr>
        <w:pStyle w:val="NormalWeb"/>
        <w:rPr>
          <w:rFonts w:ascii="Arial" w:hAnsi="Arial" w:cs="Arial"/>
          <w:color w:val="000000"/>
          <w:sz w:val="19"/>
          <w:szCs w:val="19"/>
        </w:rPr>
      </w:pPr>
      <w:r>
        <w:rPr>
          <w:rFonts w:ascii="Arial" w:hAnsi="Arial" w:cs="Arial"/>
          <w:color w:val="000000"/>
          <w:sz w:val="19"/>
          <w:szCs w:val="19"/>
        </w:rPr>
        <w:t xml:space="preserve">Vous devez avoir traité le point de menu </w:t>
      </w:r>
      <w:hyperlink r:id="rId9" w:history="1">
        <w:r>
          <w:rPr>
            <w:rStyle w:val="Lienhypertexte"/>
            <w:rFonts w:ascii="Arial" w:hAnsi="Arial" w:cs="Arial"/>
            <w:b/>
            <w:bCs/>
            <w:sz w:val="19"/>
            <w:szCs w:val="19"/>
          </w:rPr>
          <w:t>Définir tranches de numéros pour les ordres</w:t>
        </w:r>
      </w:hyperlink>
      <w:r>
        <w:rPr>
          <w:rFonts w:ascii="Arial" w:hAnsi="Arial" w:cs="Arial"/>
          <w:color w:val="000000"/>
          <w:sz w:val="19"/>
          <w:szCs w:val="19"/>
        </w:rPr>
        <w:t>.</w:t>
      </w:r>
    </w:p>
    <w:p w:rsidR="00EA71D0" w:rsidRDefault="00EA71D0" w:rsidP="00EA71D0">
      <w:pPr>
        <w:pStyle w:val="NormalWeb"/>
        <w:rPr>
          <w:rFonts w:ascii="Arial" w:hAnsi="Arial" w:cs="Arial"/>
          <w:color w:val="000000"/>
          <w:sz w:val="19"/>
          <w:szCs w:val="19"/>
        </w:rPr>
      </w:pPr>
      <w:r>
        <w:rPr>
          <w:rStyle w:val="lev"/>
          <w:rFonts w:ascii="Arial" w:hAnsi="Arial" w:cs="Arial"/>
          <w:color w:val="000000"/>
          <w:sz w:val="19"/>
          <w:szCs w:val="19"/>
        </w:rPr>
        <w:t>Options standard</w:t>
      </w:r>
    </w:p>
    <w:p w:rsidR="00EA71D0" w:rsidRDefault="00EA71D0" w:rsidP="00EA71D0">
      <w:pPr>
        <w:pStyle w:val="NormalWeb"/>
        <w:rPr>
          <w:rFonts w:ascii="Arial" w:hAnsi="Arial" w:cs="Arial"/>
          <w:color w:val="000000"/>
          <w:sz w:val="19"/>
          <w:szCs w:val="19"/>
        </w:rPr>
      </w:pPr>
      <w:r>
        <w:rPr>
          <w:rFonts w:ascii="Arial" w:hAnsi="Arial" w:cs="Arial"/>
          <w:color w:val="000000"/>
          <w:sz w:val="19"/>
          <w:szCs w:val="19"/>
        </w:rPr>
        <w:t>Les types d'ordres sont prédéfinis dans la version standard SAP.</w:t>
      </w:r>
    </w:p>
    <w:p w:rsidR="00EA71D0" w:rsidRDefault="00EA71D0" w:rsidP="00EA71D0">
      <w:pPr>
        <w:pStyle w:val="NormalWeb"/>
        <w:rPr>
          <w:rFonts w:ascii="Arial" w:hAnsi="Arial" w:cs="Arial"/>
          <w:color w:val="000000"/>
          <w:sz w:val="19"/>
          <w:szCs w:val="19"/>
        </w:rPr>
      </w:pPr>
      <w:r>
        <w:rPr>
          <w:rStyle w:val="lev"/>
          <w:rFonts w:ascii="Arial" w:hAnsi="Arial" w:cs="Arial"/>
          <w:color w:val="000000"/>
          <w:sz w:val="19"/>
          <w:szCs w:val="19"/>
        </w:rPr>
        <w:t>Activités</w:t>
      </w:r>
    </w:p>
    <w:p w:rsidR="00EA71D0" w:rsidRDefault="00EA71D0" w:rsidP="00EA71D0">
      <w:pPr>
        <w:ind w:left="720"/>
        <w:rPr>
          <w:rFonts w:cs="Arial"/>
          <w:color w:val="000000"/>
          <w:sz w:val="19"/>
          <w:szCs w:val="19"/>
        </w:rPr>
      </w:pPr>
      <w:r>
        <w:rPr>
          <w:rFonts w:cs="Arial"/>
          <w:color w:val="000000"/>
          <w:sz w:val="19"/>
          <w:szCs w:val="19"/>
        </w:rPr>
        <w:t>1. Classez les ordres en fonction de leurs caractéristiques (par ex. type d'ordre, tranche de numéros, etc.).</w:t>
      </w:r>
    </w:p>
    <w:p w:rsidR="00EA71D0" w:rsidRDefault="00EA71D0" w:rsidP="00EA71D0">
      <w:pPr>
        <w:ind w:left="720"/>
        <w:rPr>
          <w:rFonts w:cs="Arial"/>
          <w:color w:val="000000"/>
          <w:sz w:val="19"/>
          <w:szCs w:val="19"/>
        </w:rPr>
      </w:pPr>
      <w:r>
        <w:rPr>
          <w:rFonts w:cs="Arial"/>
          <w:color w:val="000000"/>
          <w:sz w:val="19"/>
          <w:szCs w:val="19"/>
        </w:rPr>
        <w:t>2. Déterminez pour chaque catégorie d'ordre si vous voulez utiliser la gestion des statuts.</w:t>
      </w:r>
    </w:p>
    <w:p w:rsidR="00EA71D0" w:rsidRDefault="00EA71D0" w:rsidP="00EA71D0">
      <w:pPr>
        <w:ind w:left="720"/>
        <w:rPr>
          <w:rFonts w:cs="Arial"/>
          <w:color w:val="000000"/>
          <w:sz w:val="19"/>
          <w:szCs w:val="19"/>
        </w:rPr>
      </w:pPr>
      <w:r>
        <w:rPr>
          <w:rFonts w:cs="Arial"/>
          <w:color w:val="000000"/>
          <w:sz w:val="19"/>
          <w:szCs w:val="19"/>
        </w:rPr>
        <w:t>3. Définissez si nécessaire de nouveaux types d'ordres.</w:t>
      </w:r>
    </w:p>
    <w:p w:rsidR="00000000" w:rsidRDefault="006D2F92">
      <w:pPr>
        <w:tabs>
          <w:tab w:val="left" w:pos="567"/>
          <w:tab w:val="left" w:pos="10344"/>
        </w:tabs>
      </w:pPr>
    </w:p>
    <w:p w:rsidR="00000000" w:rsidRDefault="006D2F92">
      <w:pPr>
        <w:tabs>
          <w:tab w:val="left" w:pos="567"/>
          <w:tab w:val="left" w:pos="10344"/>
        </w:tabs>
      </w:pPr>
    </w:p>
    <w:p w:rsidR="00000000" w:rsidRDefault="006D2F92" w:rsidP="008E4A07">
      <w:pPr>
        <w:pStyle w:val="Titre3"/>
      </w:pPr>
      <w:r>
        <w:t>Type d’ordre « </w:t>
      </w:r>
      <w:r w:rsidR="00EA71D0">
        <w:t>Z020</w:t>
      </w:r>
      <w:r>
        <w:t> »</w:t>
      </w:r>
    </w:p>
    <w:p w:rsidR="00000000" w:rsidRDefault="006D2F92"/>
    <w:p w:rsidR="00000000" w:rsidRDefault="006D2F92">
      <w:pPr>
        <w:tabs>
          <w:tab w:val="left" w:pos="567"/>
          <w:tab w:val="left" w:pos="10344"/>
        </w:tabs>
        <w:ind w:firstLine="567"/>
        <w:jc w:val="both"/>
      </w:pPr>
      <w:r>
        <w:rPr>
          <w:b/>
          <w:i/>
        </w:rPr>
        <w:t xml:space="preserve">Saisir </w:t>
      </w:r>
      <w:r>
        <w:t>l’identité du nouveau type d’ord</w:t>
      </w:r>
      <w:r>
        <w:t>re</w:t>
      </w:r>
      <w:r>
        <w:rPr>
          <w:b/>
          <w:i/>
        </w:rPr>
        <w:t xml:space="preserve"> </w:t>
      </w:r>
      <w:r>
        <w:t>« </w:t>
      </w:r>
      <w:r w:rsidR="00EA71D0">
        <w:rPr>
          <w:b/>
          <w:i/>
        </w:rPr>
        <w:t>Z020</w:t>
      </w:r>
      <w:r>
        <w:t> » et sa désignation « </w:t>
      </w:r>
      <w:r w:rsidR="00EA71D0">
        <w:rPr>
          <w:b/>
          <w:i/>
        </w:rPr>
        <w:t>MIOM</w:t>
      </w:r>
      <w:r w:rsidR="00EA71D0" w:rsidRPr="00EA71D0">
        <w:rPr>
          <w:b/>
          <w:i/>
        </w:rPr>
        <w:t>-OF d'assemblage</w:t>
      </w:r>
      <w:r>
        <w:t>».</w:t>
      </w:r>
    </w:p>
    <w:p w:rsidR="00000000" w:rsidRDefault="006D2F92">
      <w:pPr>
        <w:tabs>
          <w:tab w:val="left" w:pos="567"/>
          <w:tab w:val="left" w:pos="10344"/>
        </w:tabs>
        <w:jc w:val="both"/>
        <w:rPr>
          <w:b/>
          <w:i/>
        </w:rPr>
      </w:pPr>
    </w:p>
    <w:p w:rsidR="00000000" w:rsidRDefault="006D2F92">
      <w:pPr>
        <w:jc w:val="both"/>
        <w:rPr>
          <w:i/>
          <w:u w:val="single"/>
        </w:rPr>
      </w:pPr>
      <w:bookmarkStart w:id="7" w:name="_Toc445111442"/>
      <w:bookmarkStart w:id="8" w:name="_Toc445113841"/>
      <w:r>
        <w:rPr>
          <w:i/>
          <w:u w:val="single"/>
        </w:rPr>
        <w:t>§ Codes de paramétrage</w:t>
      </w:r>
    </w:p>
    <w:p w:rsidR="00000000" w:rsidRDefault="006D2F92">
      <w:pPr>
        <w:jc w:val="both"/>
        <w:rPr>
          <w:i/>
          <w:u w:val="single"/>
        </w:rPr>
      </w:pPr>
    </w:p>
    <w:p w:rsidR="00000000" w:rsidRDefault="006D2F92">
      <w:pPr>
        <w:ind w:firstLine="567"/>
        <w:jc w:val="both"/>
      </w:pPr>
      <w:r>
        <w:rPr>
          <w:b/>
          <w:i/>
        </w:rPr>
        <w:t>Ne pas modifier</w:t>
      </w:r>
      <w:r>
        <w:t>, paramétrage sous la responsabilité du module CO. Cependant lors d’une création, les valeurs seront renseignées ultérieurement par le module c</w:t>
      </w:r>
      <w:r>
        <w:t>oncerné.</w:t>
      </w:r>
    </w:p>
    <w:p w:rsidR="00000000" w:rsidRDefault="006D2F92">
      <w:pPr>
        <w:ind w:firstLine="567"/>
        <w:jc w:val="both"/>
      </w:pPr>
    </w:p>
    <w:p w:rsidR="00000000" w:rsidRDefault="006D2F92">
      <w:pPr>
        <w:numPr>
          <w:ilvl w:val="0"/>
          <w:numId w:val="14"/>
        </w:numPr>
        <w:tabs>
          <w:tab w:val="clear" w:pos="644"/>
          <w:tab w:val="num" w:pos="927"/>
        </w:tabs>
        <w:ind w:left="567"/>
        <w:jc w:val="both"/>
        <w:rPr>
          <w:b/>
          <w:u w:val="single"/>
        </w:rPr>
      </w:pPr>
      <w:r>
        <w:rPr>
          <w:b/>
          <w:u w:val="single"/>
        </w:rPr>
        <w:t>MAJ partenaire CO :</w:t>
      </w:r>
      <w:r>
        <w:t xml:space="preserve"> Zone non accessible, la valeur paramètrée doit être « </w:t>
      </w:r>
      <w:r>
        <w:rPr>
          <w:b/>
          <w:i/>
        </w:rPr>
        <w:t>Actif</w:t>
      </w:r>
      <w:r>
        <w:t> ».</w:t>
      </w:r>
    </w:p>
    <w:p w:rsidR="00000000" w:rsidRDefault="006D2F92">
      <w:pPr>
        <w:ind w:left="567"/>
        <w:jc w:val="both"/>
        <w:rPr>
          <w:b/>
          <w:u w:val="single"/>
        </w:rPr>
      </w:pPr>
    </w:p>
    <w:p w:rsidR="00000000" w:rsidRDefault="006D2F92">
      <w:pPr>
        <w:numPr>
          <w:ilvl w:val="0"/>
          <w:numId w:val="14"/>
        </w:numPr>
        <w:tabs>
          <w:tab w:val="clear" w:pos="644"/>
          <w:tab w:val="num" w:pos="927"/>
        </w:tabs>
        <w:ind w:left="567"/>
        <w:jc w:val="both"/>
        <w:rPr>
          <w:b/>
          <w:u w:val="single"/>
        </w:rPr>
      </w:pPr>
      <w:r>
        <w:rPr>
          <w:b/>
          <w:u w:val="single"/>
        </w:rPr>
        <w:t>Classification :</w:t>
      </w:r>
      <w:r>
        <w:t xml:space="preserve"> La zone </w:t>
      </w:r>
      <w:r w:rsidR="00EA71D0">
        <w:t xml:space="preserve">ne </w:t>
      </w:r>
      <w:r>
        <w:t xml:space="preserve">doit </w:t>
      </w:r>
      <w:r w:rsidR="00EA71D0">
        <w:t xml:space="preserve">pas </w:t>
      </w:r>
      <w:r>
        <w:t xml:space="preserve">être </w:t>
      </w:r>
      <w:r w:rsidR="00EA71D0">
        <w:t>cochée</w:t>
      </w:r>
      <w:r>
        <w:t>.</w:t>
      </w:r>
    </w:p>
    <w:p w:rsidR="00000000" w:rsidRDefault="006D2F92">
      <w:pPr>
        <w:jc w:val="both"/>
        <w:rPr>
          <w:b/>
          <w:u w:val="single"/>
        </w:rPr>
      </w:pPr>
    </w:p>
    <w:p w:rsidR="00000000" w:rsidRDefault="006D2F92">
      <w:pPr>
        <w:numPr>
          <w:ilvl w:val="0"/>
          <w:numId w:val="14"/>
        </w:numPr>
        <w:tabs>
          <w:tab w:val="clear" w:pos="644"/>
          <w:tab w:val="num" w:pos="927"/>
        </w:tabs>
        <w:ind w:left="567"/>
        <w:jc w:val="both"/>
      </w:pPr>
      <w:r>
        <w:rPr>
          <w:b/>
          <w:u w:val="single"/>
        </w:rPr>
        <w:t>Gestion engagements :</w:t>
      </w:r>
      <w:r>
        <w:t xml:space="preserve"> La zone ne doit pas être </w:t>
      </w:r>
      <w:r w:rsidR="00EA71D0">
        <w:t>cochée</w:t>
      </w:r>
      <w:r>
        <w:t>.</w:t>
      </w:r>
    </w:p>
    <w:p w:rsidR="00000000" w:rsidRDefault="006D2F92">
      <w:pPr>
        <w:jc w:val="both"/>
      </w:pPr>
    </w:p>
    <w:p w:rsidR="00000000" w:rsidRDefault="006D2F92">
      <w:pPr>
        <w:jc w:val="both"/>
        <w:rPr>
          <w:i/>
          <w:u w:val="single"/>
        </w:rPr>
      </w:pPr>
      <w:r>
        <w:rPr>
          <w:i/>
          <w:u w:val="single"/>
        </w:rPr>
        <w:t>§ Réorganisation</w:t>
      </w:r>
    </w:p>
    <w:p w:rsidR="00000000" w:rsidRDefault="006D2F92">
      <w:pPr>
        <w:jc w:val="both"/>
        <w:rPr>
          <w:i/>
          <w:u w:val="single"/>
        </w:rPr>
      </w:pPr>
    </w:p>
    <w:p w:rsidR="00000000" w:rsidRDefault="006D2F92">
      <w:pPr>
        <w:pStyle w:val="Retraitcorpsdetexte"/>
      </w:pPr>
      <w:r>
        <w:t xml:space="preserve">Ce paramétrage concerne la suppression et </w:t>
      </w:r>
      <w:r>
        <w:t>l’archivage de l’OF. Ces opérations comportent trois étapes : la pose d’un flag de suppression dans l’OF par l’utilisateur, la pose par  le système d’un code de suppression après un délai indiqué dans ce paramétrage et l’exécution du programme d’archivage.</w:t>
      </w:r>
      <w:r>
        <w:t xml:space="preserve"> </w:t>
      </w:r>
      <w:r w:rsidR="00EA71D0">
        <w:t>MIOM</w:t>
      </w:r>
      <w:r>
        <w:t xml:space="preserve"> n’ayant pas de besoin précis dans ce domaine, nous avons </w:t>
      </w:r>
      <w:r w:rsidR="00EA71D0">
        <w:t>décidé</w:t>
      </w:r>
      <w:r>
        <w:t xml:space="preserve"> de </w:t>
      </w:r>
      <w:r>
        <w:rPr>
          <w:b/>
          <w:i/>
        </w:rPr>
        <w:t>saisir</w:t>
      </w:r>
      <w:r>
        <w:t xml:space="preserve"> la valeur « </w:t>
      </w:r>
      <w:r>
        <w:rPr>
          <w:b/>
        </w:rPr>
        <w:t>1</w:t>
      </w:r>
      <w:r>
        <w:t> » (mois) pour les temps résid.1 et temps resid.2.</w:t>
      </w:r>
    </w:p>
    <w:p w:rsidR="00000000" w:rsidRDefault="006D2F92">
      <w:pPr>
        <w:ind w:firstLine="567"/>
        <w:jc w:val="both"/>
      </w:pPr>
    </w:p>
    <w:p w:rsidR="00000000" w:rsidRDefault="006D2F92">
      <w:pPr>
        <w:ind w:firstLine="567"/>
        <w:jc w:val="both"/>
      </w:pPr>
    </w:p>
    <w:p w:rsidR="00000000" w:rsidRDefault="006D2F92">
      <w:pPr>
        <w:jc w:val="both"/>
        <w:rPr>
          <w:i/>
          <w:u w:val="single"/>
        </w:rPr>
      </w:pPr>
      <w:r>
        <w:rPr>
          <w:i/>
          <w:u w:val="single"/>
        </w:rPr>
        <w:t>§ Profil de comptabilité analytique</w:t>
      </w:r>
    </w:p>
    <w:p w:rsidR="00000000" w:rsidRDefault="006D2F92">
      <w:pPr>
        <w:jc w:val="both"/>
        <w:rPr>
          <w:i/>
          <w:u w:val="single"/>
        </w:rPr>
      </w:pPr>
    </w:p>
    <w:p w:rsidR="00000000" w:rsidRDefault="006D2F92">
      <w:pPr>
        <w:ind w:firstLine="567"/>
        <w:jc w:val="both"/>
      </w:pPr>
      <w:r>
        <w:t>Ne pas modifier, paramétrage sous la responsabilité du module CO.</w:t>
      </w:r>
    </w:p>
    <w:p w:rsidR="00000000" w:rsidRDefault="006D2F92">
      <w:pPr>
        <w:ind w:firstLine="567"/>
        <w:jc w:val="both"/>
      </w:pPr>
    </w:p>
    <w:p w:rsidR="00000000" w:rsidRDefault="006D2F92" w:rsidP="00EA71D0">
      <w:pPr>
        <w:numPr>
          <w:ilvl w:val="0"/>
          <w:numId w:val="15"/>
        </w:numPr>
        <w:jc w:val="both"/>
      </w:pPr>
      <w:r>
        <w:rPr>
          <w:b/>
          <w:u w:val="single"/>
        </w:rPr>
        <w:t>Pro</w:t>
      </w:r>
      <w:r>
        <w:rPr>
          <w:b/>
          <w:u w:val="single"/>
        </w:rPr>
        <w:t>fil imputation :</w:t>
      </w:r>
      <w:r>
        <w:t xml:space="preserve"> La valeur paramètrée doit être « </w:t>
      </w:r>
      <w:r w:rsidR="00EA71D0" w:rsidRPr="00EA71D0">
        <w:rPr>
          <w:b/>
          <w:i/>
        </w:rPr>
        <w:t>Z00001</w:t>
      </w:r>
      <w:r w:rsidR="00EA71D0">
        <w:rPr>
          <w:b/>
          <w:i/>
        </w:rPr>
        <w:t xml:space="preserve"> </w:t>
      </w:r>
      <w:r>
        <w:t>».</w:t>
      </w:r>
    </w:p>
    <w:p w:rsidR="00EA71D0" w:rsidRDefault="00EA71D0" w:rsidP="00EA71D0">
      <w:pPr>
        <w:jc w:val="both"/>
      </w:pPr>
    </w:p>
    <w:p w:rsidR="00EA71D0" w:rsidRDefault="00EA71D0" w:rsidP="00EA71D0">
      <w:pPr>
        <w:jc w:val="both"/>
      </w:pPr>
    </w:p>
    <w:p w:rsidR="00EA71D0" w:rsidRDefault="00EA71D0" w:rsidP="00EA71D0">
      <w:pPr>
        <w:jc w:val="both"/>
      </w:pPr>
      <w:r>
        <w:t xml:space="preserve">IMG </w:t>
      </w:r>
      <w:r w:rsidRPr="00EA71D0">
        <w:t>Créer profil d'imputation</w:t>
      </w:r>
    </w:p>
    <w:p w:rsidR="00EA71D0" w:rsidRDefault="008E4A07" w:rsidP="00EA71D0">
      <w:pPr>
        <w:jc w:val="both"/>
        <w:rPr>
          <w:noProof/>
        </w:rPr>
      </w:pPr>
      <w:r w:rsidRPr="00AE0562">
        <w:rPr>
          <w:noProof/>
        </w:rPr>
        <w:lastRenderedPageBreak/>
        <w:drawing>
          <wp:inline distT="0" distB="0" distL="0" distR="0">
            <wp:extent cx="6804660" cy="3825240"/>
            <wp:effectExtent l="0" t="0" r="0" b="3810"/>
            <wp:docPr id="2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04660" cy="3825240"/>
                    </a:xfrm>
                    <a:prstGeom prst="rect">
                      <a:avLst/>
                    </a:prstGeom>
                    <a:noFill/>
                    <a:ln>
                      <a:noFill/>
                    </a:ln>
                  </pic:spPr>
                </pic:pic>
              </a:graphicData>
            </a:graphic>
          </wp:inline>
        </w:drawing>
      </w:r>
    </w:p>
    <w:p w:rsidR="00EA71D0" w:rsidRDefault="00EA71D0" w:rsidP="00EA71D0">
      <w:pPr>
        <w:jc w:val="both"/>
        <w:rPr>
          <w:noProof/>
        </w:rPr>
      </w:pPr>
    </w:p>
    <w:p w:rsidR="00EA71D0" w:rsidRDefault="00EA71D0" w:rsidP="00EA71D0">
      <w:pPr>
        <w:jc w:val="both"/>
        <w:rPr>
          <w:noProof/>
        </w:rPr>
      </w:pPr>
    </w:p>
    <w:p w:rsidR="00EA71D0" w:rsidRDefault="008E4A07" w:rsidP="00EA71D0">
      <w:pPr>
        <w:jc w:val="both"/>
        <w:rPr>
          <w:noProof/>
        </w:rPr>
      </w:pPr>
      <w:r w:rsidRPr="00AE0562">
        <w:rPr>
          <w:noProof/>
        </w:rPr>
        <w:drawing>
          <wp:inline distT="0" distB="0" distL="0" distR="0">
            <wp:extent cx="6804660" cy="3825240"/>
            <wp:effectExtent l="0" t="0" r="0" b="3810"/>
            <wp:docPr id="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04660" cy="3825240"/>
                    </a:xfrm>
                    <a:prstGeom prst="rect">
                      <a:avLst/>
                    </a:prstGeom>
                    <a:noFill/>
                    <a:ln>
                      <a:noFill/>
                    </a:ln>
                  </pic:spPr>
                </pic:pic>
              </a:graphicData>
            </a:graphic>
          </wp:inline>
        </w:drawing>
      </w:r>
    </w:p>
    <w:p w:rsidR="00EA71D0" w:rsidRDefault="00EA71D0" w:rsidP="00EA71D0">
      <w:pPr>
        <w:jc w:val="both"/>
        <w:rPr>
          <w:noProof/>
        </w:rPr>
      </w:pPr>
    </w:p>
    <w:p w:rsidR="00EA71D0" w:rsidRDefault="008E4A07" w:rsidP="00EA71D0">
      <w:pPr>
        <w:jc w:val="both"/>
      </w:pPr>
      <w:r w:rsidRPr="00AE0562">
        <w:rPr>
          <w:noProof/>
        </w:rPr>
        <w:lastRenderedPageBreak/>
        <w:drawing>
          <wp:inline distT="0" distB="0" distL="0" distR="0">
            <wp:extent cx="6804660" cy="3825240"/>
            <wp:effectExtent l="0" t="0" r="0" b="3810"/>
            <wp:docPr id="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04660" cy="3825240"/>
                    </a:xfrm>
                    <a:prstGeom prst="rect">
                      <a:avLst/>
                    </a:prstGeom>
                    <a:noFill/>
                    <a:ln>
                      <a:noFill/>
                    </a:ln>
                  </pic:spPr>
                </pic:pic>
              </a:graphicData>
            </a:graphic>
          </wp:inline>
        </w:drawing>
      </w:r>
    </w:p>
    <w:p w:rsidR="00000000" w:rsidRDefault="006D2F92">
      <w:pPr>
        <w:ind w:left="567"/>
        <w:jc w:val="both"/>
      </w:pPr>
    </w:p>
    <w:p w:rsidR="00000000" w:rsidRDefault="006D2F92">
      <w:pPr>
        <w:ind w:left="567"/>
        <w:jc w:val="both"/>
      </w:pPr>
    </w:p>
    <w:p w:rsidR="00000000" w:rsidRDefault="006D2F92">
      <w:pPr>
        <w:jc w:val="both"/>
        <w:rPr>
          <w:i/>
          <w:u w:val="single"/>
        </w:rPr>
      </w:pPr>
      <w:r>
        <w:rPr>
          <w:i/>
          <w:u w:val="single"/>
        </w:rPr>
        <w:t>§ Gestion des statuts</w:t>
      </w:r>
    </w:p>
    <w:p w:rsidR="00000000" w:rsidRDefault="006D2F92">
      <w:pPr>
        <w:jc w:val="both"/>
        <w:rPr>
          <w:i/>
          <w:u w:val="single"/>
        </w:rPr>
      </w:pPr>
    </w:p>
    <w:p w:rsidR="00000000" w:rsidRDefault="006D2F92">
      <w:pPr>
        <w:ind w:firstLine="567"/>
        <w:jc w:val="both"/>
      </w:pPr>
      <w:r>
        <w:t>Ne pas modifier le standard, paramétrage sous la responsabilité du module CO.</w:t>
      </w:r>
    </w:p>
    <w:p w:rsidR="00000000" w:rsidRDefault="006D2F92">
      <w:pPr>
        <w:jc w:val="both"/>
        <w:rPr>
          <w:i/>
          <w:u w:val="single"/>
        </w:rPr>
      </w:pPr>
    </w:p>
    <w:p w:rsidR="00000000" w:rsidRDefault="006D2F92">
      <w:pPr>
        <w:jc w:val="both"/>
        <w:rPr>
          <w:i/>
          <w:u w:val="single"/>
        </w:rPr>
      </w:pPr>
    </w:p>
    <w:p w:rsidR="00000000" w:rsidRDefault="006D2F92">
      <w:pPr>
        <w:jc w:val="both"/>
        <w:rPr>
          <w:i/>
          <w:u w:val="single"/>
        </w:rPr>
      </w:pPr>
      <w:r>
        <w:rPr>
          <w:i/>
          <w:u w:val="single"/>
        </w:rPr>
        <w:t>§ Numérotation générale</w:t>
      </w:r>
    </w:p>
    <w:p w:rsidR="00000000" w:rsidRDefault="006D2F92">
      <w:pPr>
        <w:jc w:val="both"/>
        <w:rPr>
          <w:i/>
          <w:u w:val="single"/>
        </w:rPr>
      </w:pPr>
    </w:p>
    <w:p w:rsidR="00000000" w:rsidRDefault="006D2F92">
      <w:pPr>
        <w:ind w:firstLine="567"/>
        <w:jc w:val="both"/>
      </w:pPr>
      <w:r>
        <w:t xml:space="preserve">Voir paramétrage dans document </w:t>
      </w:r>
      <w:r>
        <w:rPr>
          <w:b/>
        </w:rPr>
        <w:t>FPM-OF03_LG</w:t>
      </w:r>
      <w:r>
        <w:t>.</w:t>
      </w:r>
    </w:p>
    <w:p w:rsidR="00000000" w:rsidRDefault="006D2F92" w:rsidP="00EA71D0">
      <w:pPr>
        <w:jc w:val="both"/>
      </w:pPr>
    </w:p>
    <w:p w:rsidR="00EA71D0" w:rsidRDefault="00EA71D0" w:rsidP="00EA71D0">
      <w:pPr>
        <w:jc w:val="both"/>
        <w:rPr>
          <w:noProof/>
        </w:rPr>
      </w:pPr>
    </w:p>
    <w:p w:rsidR="00EA71D0" w:rsidRDefault="008E4A07" w:rsidP="00EA71D0">
      <w:pPr>
        <w:jc w:val="both"/>
      </w:pPr>
      <w:r w:rsidRPr="00AE0562">
        <w:rPr>
          <w:noProof/>
        </w:rPr>
        <w:lastRenderedPageBreak/>
        <w:drawing>
          <wp:inline distT="0" distB="0" distL="0" distR="0">
            <wp:extent cx="6804660" cy="3825240"/>
            <wp:effectExtent l="0" t="0" r="0" b="3810"/>
            <wp:docPr id="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04660" cy="3825240"/>
                    </a:xfrm>
                    <a:prstGeom prst="rect">
                      <a:avLst/>
                    </a:prstGeom>
                    <a:noFill/>
                    <a:ln>
                      <a:noFill/>
                    </a:ln>
                  </pic:spPr>
                </pic:pic>
              </a:graphicData>
            </a:graphic>
          </wp:inline>
        </w:drawing>
      </w:r>
    </w:p>
    <w:p w:rsidR="00000000" w:rsidRDefault="006D2F92">
      <w:pPr>
        <w:ind w:firstLine="567"/>
        <w:jc w:val="both"/>
      </w:pPr>
    </w:p>
    <w:p w:rsidR="00000000" w:rsidRDefault="006D2F92" w:rsidP="008E4A07">
      <w:pPr>
        <w:pStyle w:val="Titre3"/>
      </w:pPr>
      <w:r>
        <w:t>Type d’ordre « </w:t>
      </w:r>
      <w:r w:rsidR="008E4A07">
        <w:rPr>
          <w:b/>
          <w:i w:val="0"/>
        </w:rPr>
        <w:t>Z099</w:t>
      </w:r>
      <w:r>
        <w:t> »</w:t>
      </w:r>
    </w:p>
    <w:p w:rsidR="00000000" w:rsidRDefault="006D2F92"/>
    <w:p w:rsidR="00000000" w:rsidRDefault="006D2F92">
      <w:pPr>
        <w:ind w:firstLine="567"/>
        <w:jc w:val="both"/>
      </w:pPr>
      <w:r>
        <w:t>Le paramétrage de la clé « </w:t>
      </w:r>
      <w:r w:rsidR="00EA71D0">
        <w:rPr>
          <w:b/>
          <w:i/>
        </w:rPr>
        <w:t>Z099</w:t>
      </w:r>
      <w:r>
        <w:t> » est le même que pour le type d’ordre « </w:t>
      </w:r>
      <w:r w:rsidR="00EA71D0">
        <w:rPr>
          <w:b/>
          <w:i/>
        </w:rPr>
        <w:t>Z020</w:t>
      </w:r>
      <w:r>
        <w:t> ». La création se fera par copie.</w:t>
      </w:r>
    </w:p>
    <w:p w:rsidR="00000000" w:rsidRDefault="006D2F92" w:rsidP="008E4A07">
      <w:pPr>
        <w:jc w:val="both"/>
      </w:pPr>
    </w:p>
    <w:p w:rsidR="008E4A07" w:rsidRDefault="008E4A07" w:rsidP="008E4A07">
      <w:pPr>
        <w:jc w:val="both"/>
      </w:pPr>
      <w:r>
        <w:t>Profil d'imputation  Z00010           Rework - Via Notification</w:t>
      </w:r>
    </w:p>
    <w:p w:rsidR="008E4A07" w:rsidRDefault="008E4A07" w:rsidP="008E4A07">
      <w:pPr>
        <w:jc w:val="both"/>
      </w:pPr>
      <w:r>
        <w:t>Domaine fonctionnel  11               COS Production</w:t>
      </w:r>
    </w:p>
    <w:p w:rsidR="008E4A07" w:rsidRDefault="008E4A07" w:rsidP="008E4A07">
      <w:pPr>
        <w:jc w:val="both"/>
      </w:pPr>
      <w:r w:rsidRPr="008E4A07">
        <w:t>Sch. statuts en-tête ZPP00001 Profil de prod du statut comm.</w:t>
      </w:r>
    </w:p>
    <w:p w:rsidR="008E4A07" w:rsidRDefault="008E4A07" w:rsidP="008E4A07">
      <w:pPr>
        <w:jc w:val="both"/>
      </w:pPr>
      <w:r w:rsidRPr="00AE0562">
        <w:rPr>
          <w:noProof/>
        </w:rPr>
        <w:lastRenderedPageBreak/>
        <w:drawing>
          <wp:inline distT="0" distB="0" distL="0" distR="0">
            <wp:extent cx="6804660" cy="3825240"/>
            <wp:effectExtent l="0" t="0" r="0" b="3810"/>
            <wp:docPr id="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04660" cy="3825240"/>
                    </a:xfrm>
                    <a:prstGeom prst="rect">
                      <a:avLst/>
                    </a:prstGeom>
                    <a:noFill/>
                    <a:ln>
                      <a:noFill/>
                    </a:ln>
                  </pic:spPr>
                </pic:pic>
              </a:graphicData>
            </a:graphic>
          </wp:inline>
        </w:drawing>
      </w:r>
    </w:p>
    <w:p w:rsidR="00000000" w:rsidRDefault="006D2F92">
      <w:pPr>
        <w:jc w:val="both"/>
      </w:pPr>
    </w:p>
    <w:p w:rsidR="00000000" w:rsidRDefault="006D2F92">
      <w:pPr>
        <w:pStyle w:val="Corpsdetexte2"/>
      </w:pPr>
      <w:r>
        <w:t xml:space="preserve">Une fois </w:t>
      </w:r>
      <w:r w:rsidR="008E4A07">
        <w:t>les clés créées</w:t>
      </w:r>
      <w:r>
        <w:t>, il faut :</w:t>
      </w:r>
    </w:p>
    <w:p w:rsidR="00000000" w:rsidRDefault="006D2F92">
      <w:pPr>
        <w:numPr>
          <w:ilvl w:val="0"/>
          <w:numId w:val="10"/>
        </w:numPr>
        <w:tabs>
          <w:tab w:val="clear" w:pos="360"/>
          <w:tab w:val="num" w:pos="3196"/>
        </w:tabs>
        <w:ind w:left="3196"/>
        <w:jc w:val="both"/>
      </w:pPr>
      <w:r>
        <w:t xml:space="preserve">Les affecter à une tranche de numéro (voir </w:t>
      </w:r>
      <w:r>
        <w:rPr>
          <w:b/>
        </w:rPr>
        <w:t>FPM-OF03_LG</w:t>
      </w:r>
      <w:r>
        <w:t>).</w:t>
      </w:r>
    </w:p>
    <w:p w:rsidR="00000000" w:rsidRDefault="006D2F92">
      <w:pPr>
        <w:numPr>
          <w:ilvl w:val="0"/>
          <w:numId w:val="11"/>
        </w:numPr>
        <w:tabs>
          <w:tab w:val="clear" w:pos="360"/>
          <w:tab w:val="num" w:pos="3196"/>
        </w:tabs>
        <w:ind w:left="3196"/>
        <w:jc w:val="both"/>
      </w:pPr>
      <w:r>
        <w:t xml:space="preserve">les paramètrer au sein d’une division (voir </w:t>
      </w:r>
      <w:r>
        <w:rPr>
          <w:b/>
        </w:rPr>
        <w:t>FPM-O</w:t>
      </w:r>
      <w:r>
        <w:rPr>
          <w:b/>
        </w:rPr>
        <w:t>F02_LG</w:t>
      </w:r>
      <w:r>
        <w:t>).</w:t>
      </w:r>
    </w:p>
    <w:p w:rsidR="00000000" w:rsidRDefault="006D2F92">
      <w:pPr>
        <w:pStyle w:val="Titre1"/>
        <w:numPr>
          <w:ilvl w:val="0"/>
          <w:numId w:val="0"/>
        </w:numPr>
      </w:pPr>
    </w:p>
    <w:bookmarkEnd w:id="7"/>
    <w:bookmarkEnd w:id="8"/>
    <w:p w:rsidR="00000000" w:rsidRDefault="006D2F92">
      <w:pPr>
        <w:ind w:left="709"/>
      </w:pPr>
    </w:p>
    <w:p w:rsidR="006D2F92" w:rsidRDefault="006D2F92">
      <w:pPr>
        <w:ind w:left="709"/>
      </w:pPr>
    </w:p>
    <w:sectPr w:rsidR="006D2F92">
      <w:headerReference w:type="default" r:id="rId15"/>
      <w:footerReference w:type="even" r:id="rId16"/>
      <w:footerReference w:type="default" r:id="rId17"/>
      <w:footnotePr>
        <w:numFmt w:val="lowerRoman"/>
      </w:footnotePr>
      <w:endnotePr>
        <w:numFmt w:val="decimal"/>
      </w:endnotePr>
      <w:pgSz w:w="11907" w:h="16840" w:code="9"/>
      <w:pgMar w:top="567" w:right="567" w:bottom="284" w:left="567" w:header="567" w:footer="284" w:gutter="57"/>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F92" w:rsidRDefault="006D2F92">
      <w:r>
        <w:separator/>
      </w:r>
    </w:p>
  </w:endnote>
  <w:endnote w:type="continuationSeparator" w:id="0">
    <w:p w:rsidR="006D2F92" w:rsidRDefault="006D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6D2F92">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end"/>
    </w:r>
  </w:p>
  <w:p w:rsidR="00000000" w:rsidRDefault="006D2F92">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6D2F92">
    <w:pPr>
      <w:pStyle w:val="Pieddepage"/>
      <w:pBdr>
        <w:top w:val="single" w:sz="6" w:space="1" w:color="auto"/>
      </w:pBdr>
      <w:tabs>
        <w:tab w:val="clear" w:pos="9072"/>
        <w:tab w:val="right" w:pos="10206"/>
      </w:tabs>
      <w:ind w:right="-1"/>
    </w:pPr>
    <w:r>
      <w:fldChar w:fldCharType="begin"/>
    </w:r>
    <w:r>
      <w:instrText xml:space="preserve"> </w:instrText>
    </w:r>
    <w:r>
      <w:instrText>FILENAME</w:instrText>
    </w:r>
    <w:r>
      <w:instrText xml:space="preserve"> \p \* </w:instrText>
    </w:r>
    <w:r>
      <w:instrText>MERGEFORMAT</w:instrText>
    </w:r>
    <w:r>
      <w:instrText xml:space="preserve"> </w:instrText>
    </w:r>
    <w:r>
      <w:fldChar w:fldCharType="separate"/>
    </w:r>
    <w:r w:rsidR="0056559D">
      <w:rPr>
        <w:noProof/>
      </w:rPr>
      <w:t>E:\SAP\SAP\Formation\EXPERTS\Projet\FPM-OF01_LG_Définir les types d’ordre.docx</w:t>
    </w:r>
    <w:r>
      <w:fldChar w:fldCharType="end"/>
    </w:r>
    <w:r>
      <w:tab/>
    </w:r>
    <w:r>
      <w:rPr>
        <w:snapToGrid w:val="0"/>
      </w:rPr>
      <w:t xml:space="preserve">Page </w:t>
    </w:r>
    <w:r>
      <w:rPr>
        <w:snapToGrid w:val="0"/>
      </w:rPr>
      <w:fldChar w:fldCharType="begin"/>
    </w:r>
    <w:r>
      <w:rPr>
        <w:snapToGrid w:val="0"/>
      </w:rPr>
      <w:instrText xml:space="preserve"> </w:instrText>
    </w:r>
    <w:r>
      <w:rPr>
        <w:snapToGrid w:val="0"/>
      </w:rPr>
      <w:instrText>PAGE</w:instrText>
    </w:r>
    <w:r>
      <w:rPr>
        <w:snapToGrid w:val="0"/>
      </w:rPr>
      <w:instrText xml:space="preserve"> </w:instrText>
    </w:r>
    <w:r>
      <w:rPr>
        <w:snapToGrid w:val="0"/>
      </w:rPr>
      <w:fldChar w:fldCharType="separate"/>
    </w:r>
    <w:r w:rsidR="0056559D">
      <w:rPr>
        <w:noProof/>
        <w:snapToGrid w:val="0"/>
      </w:rPr>
      <w:t>8</w:t>
    </w:r>
    <w:r>
      <w:rPr>
        <w:snapToGrid w:val="0"/>
      </w:rPr>
      <w:fldChar w:fldCharType="end"/>
    </w:r>
    <w:r>
      <w:rPr>
        <w:snapToGrid w:val="0"/>
      </w:rPr>
      <w:t xml:space="preserve"> sur </w:t>
    </w:r>
    <w:r>
      <w:rPr>
        <w:snapToGrid w:val="0"/>
      </w:rPr>
      <w:fldChar w:fldCharType="begin"/>
    </w:r>
    <w:r>
      <w:rPr>
        <w:snapToGrid w:val="0"/>
      </w:rPr>
      <w:instrText xml:space="preserve"> </w:instrText>
    </w:r>
    <w:r>
      <w:rPr>
        <w:snapToGrid w:val="0"/>
      </w:rPr>
      <w:instrText>NUMPAGES</w:instrText>
    </w:r>
    <w:r>
      <w:rPr>
        <w:snapToGrid w:val="0"/>
      </w:rPr>
      <w:instrText xml:space="preserve"> </w:instrText>
    </w:r>
    <w:r>
      <w:rPr>
        <w:snapToGrid w:val="0"/>
      </w:rPr>
      <w:fldChar w:fldCharType="separate"/>
    </w:r>
    <w:r w:rsidR="0056559D">
      <w:rPr>
        <w:noProof/>
        <w:snapToGrid w:val="0"/>
      </w:rPr>
      <w:t>8</w:t>
    </w:r>
    <w:r>
      <w:rPr>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F92" w:rsidRDefault="006D2F92">
      <w:r>
        <w:separator/>
      </w:r>
    </w:p>
  </w:footnote>
  <w:footnote w:type="continuationSeparator" w:id="0">
    <w:p w:rsidR="006D2F92" w:rsidRDefault="006D2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EA71D0">
      <w:tblPrEx>
        <w:tblCellMar>
          <w:top w:w="0" w:type="dxa"/>
          <w:bottom w:w="0" w:type="dxa"/>
        </w:tblCellMar>
      </w:tblPrEx>
      <w:tc>
        <w:tcPr>
          <w:tcW w:w="2905" w:type="dxa"/>
        </w:tcPr>
        <w:p w:rsidR="00EA71D0" w:rsidRDefault="00EA71D0" w:rsidP="00EA71D0">
          <w:pPr>
            <w:pStyle w:val="En-tte"/>
            <w:jc w:val="center"/>
          </w:pPr>
          <w:r>
            <w:t>© Copyright SHARESAP.COM. Tous droits réservés.</w:t>
          </w:r>
        </w:p>
      </w:tc>
      <w:tc>
        <w:tcPr>
          <w:tcW w:w="3969" w:type="dxa"/>
        </w:tcPr>
        <w:p w:rsidR="00EA71D0" w:rsidRDefault="00EA71D0" w:rsidP="00EA71D0">
          <w:pPr>
            <w:pStyle w:val="en-tteSymris"/>
            <w:spacing w:before="120"/>
            <w:rPr>
              <w:b/>
            </w:rPr>
          </w:pPr>
          <w:r>
            <w:rPr>
              <w:b/>
            </w:rPr>
            <w:t>Projet MIOM</w:t>
          </w:r>
        </w:p>
        <w:p w:rsidR="00EA71D0" w:rsidRDefault="00EA71D0" w:rsidP="00EA71D0">
          <w:pPr>
            <w:pStyle w:val="en-tteSymris"/>
            <w:spacing w:before="120"/>
            <w:rPr>
              <w:b/>
            </w:rPr>
          </w:pPr>
          <w:r>
            <w:rPr>
              <w:b/>
            </w:rPr>
            <w:t>Phase : Réalisation</w:t>
          </w:r>
        </w:p>
        <w:p w:rsidR="00EA71D0" w:rsidRDefault="00EA71D0" w:rsidP="00EA71D0">
          <w:pPr>
            <w:pStyle w:val="en-tteSymris"/>
            <w:spacing w:before="120"/>
          </w:pPr>
          <w:r>
            <w:rPr>
              <w:b/>
            </w:rPr>
            <w:t>Fiche de paramétrage</w:t>
          </w:r>
        </w:p>
      </w:tc>
      <w:tc>
        <w:tcPr>
          <w:tcW w:w="3402" w:type="dxa"/>
        </w:tcPr>
        <w:p w:rsidR="00EA71D0" w:rsidRDefault="00EA71D0" w:rsidP="00EA71D0">
          <w:pPr>
            <w:pStyle w:val="en-tteSymris"/>
            <w:spacing w:before="120"/>
            <w:rPr>
              <w:b/>
            </w:rPr>
          </w:pPr>
        </w:p>
      </w:tc>
    </w:tr>
    <w:tr w:rsidR="00000000">
      <w:tblPrEx>
        <w:tblCellMar>
          <w:top w:w="0" w:type="dxa"/>
          <w:bottom w:w="0" w:type="dxa"/>
        </w:tblCellMar>
      </w:tblPrEx>
      <w:trPr>
        <w:cantSplit/>
      </w:trPr>
      <w:tc>
        <w:tcPr>
          <w:tcW w:w="10276" w:type="dxa"/>
          <w:gridSpan w:val="3"/>
        </w:tcPr>
        <w:p w:rsidR="00000000" w:rsidRDefault="006D2F92">
          <w:pPr>
            <w:pStyle w:val="en-tteSymris"/>
            <w:spacing w:before="120"/>
            <w:rPr>
              <w:b/>
            </w:rPr>
          </w:pPr>
          <w:r>
            <w:rPr>
              <w:b/>
            </w:rPr>
            <w:fldChar w:fldCharType="begin"/>
          </w:r>
          <w:r>
            <w:rPr>
              <w:b/>
            </w:rPr>
            <w:instrText xml:space="preserve"> </w:instrText>
          </w:r>
          <w:r>
            <w:rPr>
              <w:b/>
            </w:rPr>
            <w:instrText>FILENAME</w:instrText>
          </w:r>
          <w:r>
            <w:rPr>
              <w:b/>
            </w:rPr>
            <w:instrText xml:space="preserve">  \* </w:instrText>
          </w:r>
          <w:r>
            <w:rPr>
              <w:b/>
            </w:rPr>
            <w:instrText>MERGEFORMAT</w:instrText>
          </w:r>
          <w:r>
            <w:rPr>
              <w:b/>
            </w:rPr>
            <w:instrText xml:space="preserve"> </w:instrText>
          </w:r>
          <w:r>
            <w:rPr>
              <w:b/>
            </w:rPr>
            <w:fldChar w:fldCharType="separate"/>
          </w:r>
          <w:r w:rsidR="0056559D">
            <w:rPr>
              <w:b/>
              <w:noProof/>
            </w:rPr>
            <w:t>FPM-OF01_LG_Définir les types d’ordre</w:t>
          </w:r>
          <w:r>
            <w:rPr>
              <w:b/>
            </w:rPr>
            <w:fldChar w:fldCharType="end"/>
          </w:r>
        </w:p>
      </w:tc>
    </w:tr>
  </w:tbl>
  <w:p w:rsidR="00000000" w:rsidRDefault="006D2F9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7D989CA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 w15:restartNumberingAfterBreak="0">
    <w:nsid w:val="025E7C0D"/>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EEA63D9"/>
    <w:multiLevelType w:val="multilevel"/>
    <w:tmpl w:val="A7668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D3583"/>
    <w:multiLevelType w:val="multilevel"/>
    <w:tmpl w:val="3482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6746A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551D83"/>
    <w:multiLevelType w:val="singleLevel"/>
    <w:tmpl w:val="8D1AC3DE"/>
    <w:lvl w:ilvl="0">
      <w:start w:val="1"/>
      <w:numFmt w:val="bullet"/>
      <w:lvlText w:val=""/>
      <w:lvlJc w:val="left"/>
      <w:pPr>
        <w:tabs>
          <w:tab w:val="num" w:pos="644"/>
        </w:tabs>
        <w:ind w:left="284" w:firstLine="0"/>
      </w:pPr>
      <w:rPr>
        <w:rFonts w:ascii="Wingdings" w:hAnsi="Wingdings" w:hint="default"/>
        <w:b w:val="0"/>
        <w:i w:val="0"/>
        <w:sz w:val="24"/>
        <w:u w:val="none"/>
      </w:rPr>
    </w:lvl>
  </w:abstractNum>
  <w:abstractNum w:abstractNumId="6" w15:restartNumberingAfterBreak="0">
    <w:nsid w:val="21782A6D"/>
    <w:multiLevelType w:val="singleLevel"/>
    <w:tmpl w:val="D87A4A60"/>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36F1974"/>
    <w:multiLevelType w:val="multilevel"/>
    <w:tmpl w:val="48065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8D1677"/>
    <w:multiLevelType w:val="singleLevel"/>
    <w:tmpl w:val="8D1AC3DE"/>
    <w:lvl w:ilvl="0">
      <w:start w:val="1"/>
      <w:numFmt w:val="bullet"/>
      <w:lvlText w:val=""/>
      <w:lvlJc w:val="left"/>
      <w:pPr>
        <w:tabs>
          <w:tab w:val="num" w:pos="644"/>
        </w:tabs>
        <w:ind w:left="284" w:firstLine="0"/>
      </w:pPr>
      <w:rPr>
        <w:rFonts w:ascii="Wingdings" w:hAnsi="Wingdings" w:hint="default"/>
        <w:b w:val="0"/>
        <w:i w:val="0"/>
        <w:sz w:val="24"/>
        <w:u w:val="none"/>
      </w:rPr>
    </w:lvl>
  </w:abstractNum>
  <w:abstractNum w:abstractNumId="9" w15:restartNumberingAfterBreak="0">
    <w:nsid w:val="298C089C"/>
    <w:multiLevelType w:val="multilevel"/>
    <w:tmpl w:val="111A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B22200"/>
    <w:multiLevelType w:val="singleLevel"/>
    <w:tmpl w:val="D87A4A60"/>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FB15E76"/>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26E66B9"/>
    <w:multiLevelType w:val="singleLevel"/>
    <w:tmpl w:val="5EC4F58C"/>
    <w:lvl w:ilvl="0">
      <w:start w:val="1"/>
      <w:numFmt w:val="decimal"/>
      <w:lvlText w:val="%1."/>
      <w:lvlJc w:val="left"/>
      <w:pPr>
        <w:tabs>
          <w:tab w:val="num" w:pos="360"/>
        </w:tabs>
        <w:ind w:left="360" w:hanging="360"/>
      </w:pPr>
    </w:lvl>
  </w:abstractNum>
  <w:abstractNum w:abstractNumId="13" w15:restartNumberingAfterBreak="0">
    <w:nsid w:val="36824C9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AC966B8"/>
    <w:multiLevelType w:val="singleLevel"/>
    <w:tmpl w:val="BE1E146E"/>
    <w:lvl w:ilvl="0">
      <w:start w:val="1"/>
      <w:numFmt w:val="decimal"/>
      <w:lvlText w:val="%1-"/>
      <w:lvlJc w:val="left"/>
      <w:pPr>
        <w:tabs>
          <w:tab w:val="num" w:pos="1068"/>
        </w:tabs>
        <w:ind w:left="1068" w:hanging="360"/>
      </w:pPr>
      <w:rPr>
        <w:rFonts w:hint="default"/>
        <w:b w:val="0"/>
        <w:i w:val="0"/>
      </w:rPr>
    </w:lvl>
  </w:abstractNum>
  <w:abstractNum w:abstractNumId="15" w15:restartNumberingAfterBreak="0">
    <w:nsid w:val="42E05B77"/>
    <w:multiLevelType w:val="multilevel"/>
    <w:tmpl w:val="26E6D3A4"/>
    <w:lvl w:ilvl="0">
      <w:start w:val="1"/>
      <w:numFmt w:val="decimal"/>
      <w:pStyle w:val="Titre1"/>
      <w:lvlText w:val="%1."/>
      <w:lvlJc w:val="left"/>
      <w:pPr>
        <w:tabs>
          <w:tab w:val="num" w:pos="360"/>
        </w:tabs>
        <w:ind w:left="0" w:firstLine="0"/>
      </w:pPr>
      <w:rPr>
        <w:rFonts w:ascii="Arial" w:hAnsi="Arial" w:hint="default"/>
        <w:b/>
        <w:i w:val="0"/>
        <w:caps/>
        <w:strike w:val="0"/>
        <w:dstrike w:val="0"/>
        <w:vanish w:val="0"/>
        <w:sz w:val="28"/>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Titre2"/>
      <w:suff w:val="space"/>
      <w:lvlText w:val="%1.%2."/>
      <w:lvlJc w:val="left"/>
      <w:pPr>
        <w:ind w:left="567" w:firstLine="0"/>
      </w:pPr>
      <w:rPr>
        <w:rFonts w:ascii="Arial" w:hAnsi="Arial" w:hint="default"/>
        <w:b/>
        <w:i/>
        <w:caps/>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Titre3"/>
      <w:suff w:val="space"/>
      <w:lvlText w:val="%1.%2.%3."/>
      <w:lvlJc w:val="left"/>
      <w:pPr>
        <w:ind w:left="1134" w:firstLine="0"/>
      </w:pPr>
      <w:rPr>
        <w:rFonts w:ascii="Arial" w:hAnsi="Arial" w:hint="default"/>
        <w:b w:val="0"/>
        <w:i/>
        <w:caps w:val="0"/>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Titre4"/>
      <w:suff w:val="space"/>
      <w:lvlText w:val="%1.%2.%3.%4."/>
      <w:lvlJc w:val="left"/>
      <w:pPr>
        <w:ind w:left="1701" w:firstLine="0"/>
      </w:pPr>
      <w:rPr>
        <w:rFonts w:ascii="Arial" w:hAnsi="Arial" w:hint="default"/>
        <w:b w:val="0"/>
        <w:i w:val="0"/>
        <w:caps w:val="0"/>
        <w:sz w:val="24"/>
        <w:u w:val="single"/>
      </w:rPr>
    </w:lvl>
    <w:lvl w:ilvl="4">
      <w:start w:val="1"/>
      <w:numFmt w:val="decimal"/>
      <w:pStyle w:val="Titre5"/>
      <w:lvlText w:val="%1.%2.%3.%4.%5."/>
      <w:lvlJc w:val="left"/>
      <w:pPr>
        <w:tabs>
          <w:tab w:val="num" w:pos="0"/>
        </w:tabs>
        <w:ind w:left="3540" w:hanging="708"/>
      </w:pPr>
    </w:lvl>
    <w:lvl w:ilvl="5">
      <w:start w:val="1"/>
      <w:numFmt w:val="decimal"/>
      <w:pStyle w:val="Titre6"/>
      <w:lvlText w:val="%1.%2.%3.%4.%5.%6."/>
      <w:lvlJc w:val="left"/>
      <w:pPr>
        <w:tabs>
          <w:tab w:val="num" w:pos="0"/>
        </w:tabs>
        <w:ind w:left="4248" w:hanging="708"/>
      </w:pPr>
    </w:lvl>
    <w:lvl w:ilvl="6">
      <w:start w:val="1"/>
      <w:numFmt w:val="decimal"/>
      <w:pStyle w:val="Titre7"/>
      <w:lvlText w:val="%1.%2.%3.%4.%5.%6.%7."/>
      <w:lvlJc w:val="left"/>
      <w:pPr>
        <w:tabs>
          <w:tab w:val="num" w:pos="0"/>
        </w:tabs>
        <w:ind w:left="4956" w:hanging="708"/>
      </w:pPr>
    </w:lvl>
    <w:lvl w:ilvl="7">
      <w:start w:val="1"/>
      <w:numFmt w:val="decimal"/>
      <w:pStyle w:val="Titre8"/>
      <w:lvlText w:val="%1.%2.%3.%4.%5.%6.%7.%8."/>
      <w:lvlJc w:val="left"/>
      <w:pPr>
        <w:tabs>
          <w:tab w:val="num" w:pos="0"/>
        </w:tabs>
        <w:ind w:left="5664" w:hanging="708"/>
      </w:pPr>
    </w:lvl>
    <w:lvl w:ilvl="8">
      <w:start w:val="1"/>
      <w:numFmt w:val="decimal"/>
      <w:pStyle w:val="Titre9"/>
      <w:lvlText w:val="%1.%2.%3.%4.%5.%6.%7.%8.%9."/>
      <w:lvlJc w:val="left"/>
      <w:pPr>
        <w:tabs>
          <w:tab w:val="num" w:pos="0"/>
        </w:tabs>
        <w:ind w:left="6372" w:hanging="708"/>
      </w:pPr>
    </w:lvl>
  </w:abstractNum>
  <w:abstractNum w:abstractNumId="16" w15:restartNumberingAfterBreak="0">
    <w:nsid w:val="436F4A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DB86122"/>
    <w:multiLevelType w:val="singleLevel"/>
    <w:tmpl w:val="040C000F"/>
    <w:lvl w:ilvl="0">
      <w:start w:val="1"/>
      <w:numFmt w:val="decimal"/>
      <w:lvlText w:val="%1."/>
      <w:lvlJc w:val="left"/>
      <w:pPr>
        <w:tabs>
          <w:tab w:val="num" w:pos="360"/>
        </w:tabs>
        <w:ind w:left="360" w:hanging="360"/>
      </w:pPr>
    </w:lvl>
  </w:abstractNum>
  <w:abstractNum w:abstractNumId="18" w15:restartNumberingAfterBreak="0">
    <w:nsid w:val="4EEC058B"/>
    <w:multiLevelType w:val="multilevel"/>
    <w:tmpl w:val="B77A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535EBB"/>
    <w:multiLevelType w:val="multilevel"/>
    <w:tmpl w:val="CC3A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C2500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8DA51E4"/>
    <w:multiLevelType w:val="multilevel"/>
    <w:tmpl w:val="B8841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C30733"/>
    <w:multiLevelType w:val="multilevel"/>
    <w:tmpl w:val="A5E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24249B"/>
    <w:multiLevelType w:val="multilevel"/>
    <w:tmpl w:val="EF8C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6"/>
  </w:num>
  <w:num w:numId="3">
    <w:abstractNumId w:val="13"/>
  </w:num>
  <w:num w:numId="4">
    <w:abstractNumId w:val="20"/>
  </w:num>
  <w:num w:numId="5">
    <w:abstractNumId w:val="4"/>
  </w:num>
  <w:num w:numId="6">
    <w:abstractNumId w:val="11"/>
  </w:num>
  <w:num w:numId="7">
    <w:abstractNumId w:val="14"/>
  </w:num>
  <w:num w:numId="8">
    <w:abstractNumId w:val="1"/>
  </w:num>
  <w:num w:numId="9">
    <w:abstractNumId w:val="17"/>
  </w:num>
  <w:num w:numId="10">
    <w:abstractNumId w:val="10"/>
  </w:num>
  <w:num w:numId="11">
    <w:abstractNumId w:val="6"/>
  </w:num>
  <w:num w:numId="12">
    <w:abstractNumId w:val="12"/>
  </w:num>
  <w:num w:numId="13">
    <w:abstractNumId w:val="15"/>
  </w:num>
  <w:num w:numId="14">
    <w:abstractNumId w:val="8"/>
  </w:num>
  <w:num w:numId="15">
    <w:abstractNumId w:val="5"/>
  </w:num>
  <w:num w:numId="16">
    <w:abstractNumId w:val="3"/>
  </w:num>
  <w:num w:numId="17">
    <w:abstractNumId w:val="23"/>
  </w:num>
  <w:num w:numId="18">
    <w:abstractNumId w:val="9"/>
  </w:num>
  <w:num w:numId="19">
    <w:abstractNumId w:val="21"/>
  </w:num>
  <w:num w:numId="20">
    <w:abstractNumId w:val="2"/>
  </w:num>
  <w:num w:numId="21">
    <w:abstractNumId w:val="19"/>
  </w:num>
  <w:num w:numId="22">
    <w:abstractNumId w:val="18"/>
  </w:num>
  <w:num w:numId="23">
    <w:abstractNumId w:val="2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1D0"/>
    <w:rsid w:val="0056559D"/>
    <w:rsid w:val="006D2F92"/>
    <w:rsid w:val="008E4A07"/>
    <w:rsid w:val="00EA71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4D2D7F-188C-4460-AF4D-984151AD9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autoRedefine/>
    <w:qFormat/>
    <w:pPr>
      <w:keepNext/>
      <w:numPr>
        <w:numId w:val="13"/>
      </w:numPr>
      <w:outlineLvl w:val="0"/>
    </w:pPr>
    <w:rPr>
      <w:b/>
      <w:caps/>
      <w:kern w:val="28"/>
      <w:sz w:val="28"/>
      <w:u w:val="single"/>
    </w:rPr>
  </w:style>
  <w:style w:type="paragraph" w:styleId="Titre2">
    <w:name w:val="heading 2"/>
    <w:basedOn w:val="Normal"/>
    <w:next w:val="Normal"/>
    <w:autoRedefine/>
    <w:qFormat/>
    <w:pPr>
      <w:keepNext/>
      <w:numPr>
        <w:ilvl w:val="1"/>
        <w:numId w:val="13"/>
      </w:numPr>
      <w:jc w:val="both"/>
      <w:outlineLvl w:val="1"/>
    </w:pPr>
    <w:rPr>
      <w:b/>
      <w:i/>
      <w:u w:val="single"/>
    </w:rPr>
  </w:style>
  <w:style w:type="paragraph" w:styleId="Titre3">
    <w:name w:val="heading 3"/>
    <w:basedOn w:val="Normal"/>
    <w:next w:val="Normal"/>
    <w:autoRedefine/>
    <w:qFormat/>
    <w:pPr>
      <w:keepNext/>
      <w:numPr>
        <w:ilvl w:val="2"/>
        <w:numId w:val="13"/>
      </w:numPr>
      <w:outlineLvl w:val="2"/>
    </w:pPr>
    <w:rPr>
      <w:i/>
      <w:u w:val="single"/>
    </w:rPr>
  </w:style>
  <w:style w:type="paragraph" w:styleId="Titre4">
    <w:name w:val="heading 4"/>
    <w:basedOn w:val="Normal"/>
    <w:next w:val="Normal"/>
    <w:qFormat/>
    <w:pPr>
      <w:keepNext/>
      <w:numPr>
        <w:ilvl w:val="3"/>
        <w:numId w:val="13"/>
      </w:numPr>
      <w:spacing w:before="240" w:after="60"/>
      <w:outlineLvl w:val="3"/>
    </w:pPr>
    <w:rPr>
      <w:b/>
    </w:rPr>
  </w:style>
  <w:style w:type="paragraph" w:styleId="Titre5">
    <w:name w:val="heading 5"/>
    <w:basedOn w:val="Normal"/>
    <w:next w:val="Normal"/>
    <w:qFormat/>
    <w:pPr>
      <w:numPr>
        <w:ilvl w:val="4"/>
        <w:numId w:val="13"/>
      </w:numPr>
      <w:spacing w:before="240" w:after="60"/>
      <w:outlineLvl w:val="4"/>
    </w:pPr>
    <w:rPr>
      <w:sz w:val="22"/>
    </w:rPr>
  </w:style>
  <w:style w:type="paragraph" w:styleId="Titre6">
    <w:name w:val="heading 6"/>
    <w:basedOn w:val="Normal"/>
    <w:next w:val="Normal"/>
    <w:qFormat/>
    <w:pPr>
      <w:numPr>
        <w:ilvl w:val="5"/>
        <w:numId w:val="13"/>
      </w:numPr>
      <w:spacing w:before="240" w:after="60"/>
      <w:outlineLvl w:val="5"/>
    </w:pPr>
    <w:rPr>
      <w:i/>
      <w:sz w:val="22"/>
    </w:rPr>
  </w:style>
  <w:style w:type="paragraph" w:styleId="Titre7">
    <w:name w:val="heading 7"/>
    <w:basedOn w:val="Normal"/>
    <w:next w:val="Normal"/>
    <w:qFormat/>
    <w:pPr>
      <w:numPr>
        <w:ilvl w:val="6"/>
        <w:numId w:val="13"/>
      </w:numPr>
      <w:spacing w:before="240" w:after="60"/>
      <w:outlineLvl w:val="6"/>
    </w:pPr>
    <w:rPr>
      <w:sz w:val="20"/>
    </w:rPr>
  </w:style>
  <w:style w:type="paragraph" w:styleId="Titre8">
    <w:name w:val="heading 8"/>
    <w:basedOn w:val="Normal"/>
    <w:next w:val="Normal"/>
    <w:qFormat/>
    <w:pPr>
      <w:numPr>
        <w:ilvl w:val="7"/>
        <w:numId w:val="13"/>
      </w:numPr>
      <w:spacing w:before="240" w:after="60"/>
      <w:outlineLvl w:val="7"/>
    </w:pPr>
    <w:rPr>
      <w:i/>
      <w:sz w:val="20"/>
    </w:rPr>
  </w:style>
  <w:style w:type="paragraph" w:styleId="Titre9">
    <w:name w:val="heading 9"/>
    <w:basedOn w:val="Normal"/>
    <w:next w:val="Normal"/>
    <w:qFormat/>
    <w:pPr>
      <w:numPr>
        <w:ilvl w:val="8"/>
        <w:numId w:val="13"/>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paragraph" w:styleId="Corpsdetexte">
    <w:name w:val="Body Text"/>
    <w:basedOn w:val="Normal"/>
    <w:semiHidden/>
    <w:rPr>
      <w:b/>
      <w:color w:val="FF0000"/>
    </w:rPr>
  </w:style>
  <w:style w:type="paragraph" w:styleId="Corpsdetexte2">
    <w:name w:val="Body Text 2"/>
    <w:basedOn w:val="Normal"/>
    <w:semiHidden/>
    <w:pPr>
      <w:jc w:val="both"/>
    </w:pPr>
  </w:style>
  <w:style w:type="paragraph" w:styleId="Retraitcorpsdetexte">
    <w:name w:val="Body Text Indent"/>
    <w:basedOn w:val="Normal"/>
    <w:semiHidden/>
    <w:pPr>
      <w:ind w:firstLine="567"/>
      <w:jc w:val="both"/>
    </w:pPr>
  </w:style>
  <w:style w:type="character" w:customStyle="1" w:styleId="En-tteCar">
    <w:name w:val="En-tête Car"/>
    <w:link w:val="En-tte"/>
    <w:rsid w:val="00EA71D0"/>
    <w:rPr>
      <w:rFonts w:ascii="Arial" w:hAnsi="Arial"/>
      <w:sz w:val="24"/>
    </w:rPr>
  </w:style>
  <w:style w:type="character" w:styleId="Lienhypertexte">
    <w:name w:val="Hyperlink"/>
    <w:uiPriority w:val="99"/>
    <w:semiHidden/>
    <w:unhideWhenUsed/>
    <w:rsid w:val="00EA71D0"/>
    <w:rPr>
      <w:strike w:val="0"/>
      <w:dstrike w:val="0"/>
      <w:color w:val="0063A4"/>
      <w:u w:val="none"/>
      <w:effect w:val="none"/>
    </w:rPr>
  </w:style>
  <w:style w:type="paragraph" w:styleId="NormalWeb">
    <w:name w:val="Normal (Web)"/>
    <w:basedOn w:val="Normal"/>
    <w:uiPriority w:val="99"/>
    <w:semiHidden/>
    <w:unhideWhenUsed/>
    <w:rsid w:val="00EA71D0"/>
    <w:pPr>
      <w:spacing w:before="100" w:beforeAutospacing="1" w:after="100" w:afterAutospacing="1"/>
    </w:pPr>
    <w:rPr>
      <w:rFonts w:ascii="Times New Roman" w:hAnsi="Times New Roman"/>
      <w:szCs w:val="24"/>
    </w:rPr>
  </w:style>
  <w:style w:type="character" w:styleId="lev">
    <w:name w:val="Strong"/>
    <w:uiPriority w:val="22"/>
    <w:qFormat/>
    <w:rsid w:val="00EA71D0"/>
    <w:rPr>
      <w:b/>
      <w:bCs/>
    </w:rPr>
  </w:style>
  <w:style w:type="paragraph" w:styleId="Textedebulles">
    <w:name w:val="Balloon Text"/>
    <w:basedOn w:val="Normal"/>
    <w:link w:val="TextedebullesCar"/>
    <w:uiPriority w:val="99"/>
    <w:semiHidden/>
    <w:unhideWhenUsed/>
    <w:rsid w:val="0056559D"/>
    <w:rPr>
      <w:rFonts w:ascii="Segoe UI" w:hAnsi="Segoe UI" w:cs="Segoe UI"/>
      <w:sz w:val="18"/>
      <w:szCs w:val="18"/>
    </w:rPr>
  </w:style>
  <w:style w:type="character" w:customStyle="1" w:styleId="TextedebullesCar">
    <w:name w:val="Texte de bulles Car"/>
    <w:basedOn w:val="Policepardfaut"/>
    <w:link w:val="Textedebulles"/>
    <w:uiPriority w:val="99"/>
    <w:semiHidden/>
    <w:rsid w:val="005655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68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SAPEVENT:DOCU_LINK\DS:SIMG.SIMG_CFMENUOLPFOPJ5"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SAPEVENT:DOCU_LINK\DS:SIMG.SIMG_CFMENUOLPFOPJH" TargetMode="External"/><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S:\Doc\Ph3%20parametrage\Documents%20Travail\Equipe%20Fonctionnelle\PP\PARAMETRAGE\STR-PP06-30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STR-PP06-30p</Template>
  <TotalTime>1</TotalTime>
  <Pages>8</Pages>
  <Words>881</Words>
  <Characters>4846</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Ethan Frome</vt:lpstr>
    </vt:vector>
  </TitlesOfParts>
  <Company>IBM</Company>
  <LinksUpToDate>false</LinksUpToDate>
  <CharactersWithSpaces>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modèle</dc:subject>
  <dc:creator>EW/LN/CB</dc:creator>
  <cp:keywords>Ethan</cp:keywords>
  <dc:description/>
  <cp:lastModifiedBy>Quesnot, Mickael</cp:lastModifiedBy>
  <cp:revision>3</cp:revision>
  <cp:lastPrinted>2016-03-15T16:43:00Z</cp:lastPrinted>
  <dcterms:created xsi:type="dcterms:W3CDTF">2016-03-15T16:43:00Z</dcterms:created>
  <dcterms:modified xsi:type="dcterms:W3CDTF">2016-03-15T16:44:00Z</dcterms:modified>
</cp:coreProperties>
</file>